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98829" w14:textId="26BCC012" w:rsidR="00535CB8" w:rsidRDefault="00AF5B71" w:rsidP="00B81570">
      <w:pPr>
        <w:jc w:val="center"/>
        <w:rPr>
          <w:rFonts w:ascii="Times" w:hAnsi="Times" w:cs="Times New Roman"/>
          <w:b/>
          <w:bCs/>
          <w:color w:val="000000" w:themeColor="text1"/>
          <w:lang w:val="en-GB"/>
        </w:rPr>
      </w:pPr>
      <w:r w:rsidRPr="00A52DB8">
        <w:rPr>
          <w:rFonts w:ascii="Times" w:hAnsi="Times" w:cs="Times New Roman"/>
          <w:b/>
          <w:bCs/>
          <w:color w:val="000000" w:themeColor="text1"/>
          <w:lang w:val="en-GB"/>
        </w:rPr>
        <w:t xml:space="preserve">30-Day Readmissions After </w:t>
      </w:r>
      <w:r w:rsidR="000420F2" w:rsidRPr="00A52DB8">
        <w:rPr>
          <w:rFonts w:ascii="Times" w:hAnsi="Times" w:cs="Times New Roman"/>
          <w:b/>
          <w:bCs/>
          <w:color w:val="000000" w:themeColor="text1"/>
          <w:lang w:val="en-GB"/>
        </w:rPr>
        <w:t>P</w:t>
      </w:r>
      <w:r w:rsidRPr="00A52DB8">
        <w:rPr>
          <w:rFonts w:ascii="Times" w:hAnsi="Times" w:cs="Times New Roman"/>
          <w:b/>
          <w:bCs/>
          <w:color w:val="000000" w:themeColor="text1"/>
          <w:lang w:val="en-GB"/>
        </w:rPr>
        <w:t>rimary Percutaneous Coronary Intervention in Nonagenarians: A Nationwide Analysis from the United States</w:t>
      </w:r>
    </w:p>
    <w:p w14:paraId="32214BEE" w14:textId="77777777" w:rsidR="00B81570" w:rsidRPr="00B81570" w:rsidRDefault="00B81570" w:rsidP="00B81570">
      <w:pPr>
        <w:jc w:val="center"/>
        <w:rPr>
          <w:rFonts w:ascii="Times" w:hAnsi="Times" w:cs="Times New Roman"/>
          <w:b/>
          <w:bCs/>
          <w:color w:val="000000" w:themeColor="text1"/>
          <w:lang w:val="en-GB"/>
        </w:rPr>
      </w:pPr>
    </w:p>
    <w:p w14:paraId="15C2098D" w14:textId="77777777" w:rsidR="003E16E7" w:rsidRDefault="003E16E7" w:rsidP="00756FD7">
      <w:pPr>
        <w:spacing w:before="180" w:after="180"/>
        <w:outlineLvl w:val="2"/>
        <w:rPr>
          <w:rFonts w:ascii="Times" w:eastAsia="Times New Roman" w:hAnsi="Times" w:cs="Times New Roman"/>
          <w:b/>
          <w:bCs/>
          <w:color w:val="000000" w:themeColor="text1"/>
        </w:rPr>
      </w:pPr>
    </w:p>
    <w:p w14:paraId="2744F152" w14:textId="6F406DD2" w:rsidR="00756FD7" w:rsidRPr="00A52DB8" w:rsidRDefault="00756FD7" w:rsidP="00756FD7">
      <w:pPr>
        <w:spacing w:before="180" w:after="180"/>
        <w:outlineLvl w:val="2"/>
        <w:rPr>
          <w:rFonts w:ascii="Times" w:eastAsia="Times New Roman" w:hAnsi="Times" w:cs="Times New Roman"/>
          <w:b/>
          <w:bCs/>
          <w:color w:val="000000" w:themeColor="text1"/>
        </w:rPr>
      </w:pPr>
      <w:r w:rsidRPr="00A52DB8">
        <w:rPr>
          <w:rFonts w:ascii="Times" w:eastAsia="Times New Roman" w:hAnsi="Times" w:cs="Times New Roman"/>
          <w:b/>
          <w:bCs/>
          <w:color w:val="000000" w:themeColor="text1"/>
        </w:rPr>
        <w:t>Background</w:t>
      </w:r>
    </w:p>
    <w:p w14:paraId="066F3DD5" w14:textId="3BC14A7B" w:rsidR="00756FD7" w:rsidRPr="00756FD7" w:rsidRDefault="00393216" w:rsidP="00393216">
      <w:pPr>
        <w:spacing w:before="75" w:after="240"/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>T</w:t>
      </w:r>
      <w:r w:rsidR="00756FD7" w:rsidRPr="00A52DB8">
        <w:rPr>
          <w:rFonts w:ascii="Times" w:eastAsia="Times New Roman" w:hAnsi="Times" w:cs="Times New Roman"/>
          <w:color w:val="000000" w:themeColor="text1"/>
        </w:rPr>
        <w:t xml:space="preserve">here is limited data </w:t>
      </w:r>
      <w:r w:rsidR="00F6756B">
        <w:rPr>
          <w:rFonts w:ascii="Times" w:eastAsia="Times New Roman" w:hAnsi="Times" w:cs="Times New Roman"/>
          <w:color w:val="000000" w:themeColor="text1"/>
        </w:rPr>
        <w:t>on</w:t>
      </w:r>
      <w:r w:rsidR="00756FD7" w:rsidRPr="00A52DB8">
        <w:rPr>
          <w:rFonts w:ascii="Times" w:eastAsia="Times New Roman" w:hAnsi="Times" w:cs="Times New Roman"/>
          <w:color w:val="000000" w:themeColor="text1"/>
        </w:rPr>
        <w:t xml:space="preserve"> 30-day readmission rates in nonagenarians (age </w:t>
      </w:r>
      <w:r w:rsidR="00F6756B">
        <w:rPr>
          <w:rFonts w:ascii="Times" w:eastAsia="Times New Roman" w:hAnsi="Times" w:cs="Times New Roman"/>
          <w:color w:val="000000" w:themeColor="text1"/>
        </w:rPr>
        <w:t>&gt;</w:t>
      </w:r>
      <w:r w:rsidR="00756FD7" w:rsidRPr="00A52DB8">
        <w:rPr>
          <w:rFonts w:ascii="Times" w:eastAsia="Times New Roman" w:hAnsi="Times" w:cs="Times New Roman"/>
          <w:color w:val="000000" w:themeColor="text1"/>
        </w:rPr>
        <w:t>90</w:t>
      </w:r>
      <w:r w:rsidR="00756FD7" w:rsidRPr="00A52DB8">
        <w:rPr>
          <w:rFonts w:ascii="Times New Roman" w:eastAsia="Times New Roman" w:hAnsi="Times New Roman" w:cs="Times New Roman"/>
          <w:color w:val="000000" w:themeColor="text1"/>
        </w:rPr>
        <w:t> </w:t>
      </w:r>
      <w:r w:rsidR="00756FD7" w:rsidRPr="00A52DB8">
        <w:rPr>
          <w:rFonts w:ascii="Times" w:eastAsia="Times New Roman" w:hAnsi="Times" w:cs="Times New Roman"/>
          <w:color w:val="000000" w:themeColor="text1"/>
        </w:rPr>
        <w:t xml:space="preserve">years) with </w:t>
      </w:r>
      <w:r w:rsidR="00F6756B" w:rsidRPr="00A52DB8">
        <w:rPr>
          <w:rFonts w:ascii="Times" w:eastAsia="Times New Roman" w:hAnsi="Times" w:cs="Times New Roman"/>
          <w:color w:val="000000" w:themeColor="text1"/>
        </w:rPr>
        <w:t xml:space="preserve">ST elevation myocardial infarction </w:t>
      </w:r>
      <w:r w:rsidR="00F6756B">
        <w:rPr>
          <w:rFonts w:ascii="Times" w:eastAsia="Times New Roman" w:hAnsi="Times" w:cs="Times New Roman"/>
          <w:color w:val="000000" w:themeColor="text1"/>
        </w:rPr>
        <w:t>(</w:t>
      </w:r>
      <w:r w:rsidR="00756FD7" w:rsidRPr="00A52DB8">
        <w:rPr>
          <w:rFonts w:ascii="Times" w:eastAsia="Times New Roman" w:hAnsi="Times" w:cs="Times New Roman"/>
          <w:color w:val="000000" w:themeColor="text1"/>
        </w:rPr>
        <w:t>STEMI</w:t>
      </w:r>
      <w:r w:rsidR="00F6756B">
        <w:rPr>
          <w:rFonts w:ascii="Times" w:eastAsia="Times New Roman" w:hAnsi="Times" w:cs="Times New Roman"/>
          <w:color w:val="000000" w:themeColor="text1"/>
        </w:rPr>
        <w:t>)</w:t>
      </w:r>
      <w:r w:rsidR="00756FD7" w:rsidRPr="00A52DB8">
        <w:rPr>
          <w:rFonts w:ascii="Times" w:eastAsia="Times New Roman" w:hAnsi="Times" w:cs="Times New Roman"/>
          <w:color w:val="000000" w:themeColor="text1"/>
        </w:rPr>
        <w:t>.</w:t>
      </w:r>
      <w:r w:rsidR="00756FD7">
        <w:rPr>
          <w:rFonts w:ascii="Times" w:eastAsia="Times New Roman" w:hAnsi="Times" w:cs="Times New Roman"/>
          <w:color w:val="000000" w:themeColor="text1"/>
        </w:rPr>
        <w:t xml:space="preserve"> </w:t>
      </w:r>
      <w:r>
        <w:rPr>
          <w:rFonts w:ascii="Times" w:eastAsia="Times New Roman" w:hAnsi="Times" w:cs="Times New Roman"/>
          <w:color w:val="000000" w:themeColor="text1"/>
        </w:rPr>
        <w:t>We aimed to</w:t>
      </w:r>
      <w:r w:rsidRPr="00A52DB8">
        <w:rPr>
          <w:rFonts w:ascii="Times" w:eastAsia="Times New Roman" w:hAnsi="Times" w:cs="Times New Roman"/>
          <w:color w:val="000000" w:themeColor="text1"/>
        </w:rPr>
        <w:t xml:space="preserve"> assess 30-day readmission rates and mortality at readmission in nonagenarians </w:t>
      </w:r>
      <w:r w:rsidR="00F6756B">
        <w:rPr>
          <w:rFonts w:ascii="Times" w:eastAsia="Times New Roman" w:hAnsi="Times" w:cs="Times New Roman"/>
          <w:color w:val="000000" w:themeColor="text1"/>
        </w:rPr>
        <w:t>post-</w:t>
      </w:r>
      <w:r w:rsidRPr="00A52DB8">
        <w:rPr>
          <w:rFonts w:ascii="Times" w:eastAsia="Times New Roman" w:hAnsi="Times" w:cs="Times New Roman"/>
          <w:color w:val="000000" w:themeColor="text1"/>
        </w:rPr>
        <w:t>STEMI.</w:t>
      </w:r>
      <w:r>
        <w:rPr>
          <w:rFonts w:ascii="Times" w:eastAsia="Times New Roman" w:hAnsi="Times" w:cs="Times New Roman"/>
          <w:color w:val="000000" w:themeColor="text1"/>
        </w:rPr>
        <w:t xml:space="preserve"> </w:t>
      </w:r>
      <w:r w:rsidR="00756FD7" w:rsidRPr="00035EB9">
        <w:rPr>
          <w:rFonts w:ascii="Times" w:hAnsi="Times"/>
          <w:color w:val="000000" w:themeColor="text1"/>
        </w:rPr>
        <w:t>The impact of primary percutaneous coronary intervention (pPCI) versus no pPCI on 30</w:t>
      </w:r>
      <w:r w:rsidR="00756FD7" w:rsidRPr="00035EB9">
        <w:rPr>
          <w:rFonts w:ascii="Cambria Math" w:hAnsi="Cambria Math" w:cs="Cambria Math"/>
          <w:color w:val="000000" w:themeColor="text1"/>
        </w:rPr>
        <w:t>‐</w:t>
      </w:r>
      <w:r w:rsidR="00756FD7" w:rsidRPr="00035EB9">
        <w:rPr>
          <w:rFonts w:ascii="Times" w:hAnsi="Times"/>
          <w:color w:val="000000" w:themeColor="text1"/>
        </w:rPr>
        <w:t xml:space="preserve">day readmissions and </w:t>
      </w:r>
      <w:r w:rsidR="00756FD7" w:rsidRPr="00035EB9">
        <w:rPr>
          <w:rFonts w:ascii="Times" w:hAnsi="Times" w:cs="Open Sans"/>
          <w:color w:val="000000" w:themeColor="text1"/>
        </w:rPr>
        <w:t xml:space="preserve">mortality at readmission </w:t>
      </w:r>
      <w:r w:rsidR="00756FD7" w:rsidRPr="00035EB9">
        <w:rPr>
          <w:rFonts w:ascii="Times" w:hAnsi="Times"/>
          <w:color w:val="000000" w:themeColor="text1"/>
        </w:rPr>
        <w:t>was also examined.</w:t>
      </w:r>
    </w:p>
    <w:p w14:paraId="5A11F324" w14:textId="77777777" w:rsidR="005262D8" w:rsidRPr="00A52DB8" w:rsidRDefault="005262D8" w:rsidP="00A52DB8">
      <w:pPr>
        <w:spacing w:before="180" w:after="180"/>
        <w:outlineLvl w:val="2"/>
        <w:rPr>
          <w:rFonts w:ascii="Times" w:eastAsia="Times New Roman" w:hAnsi="Times" w:cs="Times New Roman"/>
          <w:b/>
          <w:bCs/>
          <w:color w:val="000000" w:themeColor="text1"/>
        </w:rPr>
      </w:pPr>
      <w:r w:rsidRPr="00A52DB8">
        <w:rPr>
          <w:rFonts w:ascii="Times" w:eastAsia="Times New Roman" w:hAnsi="Times" w:cs="Times New Roman"/>
          <w:b/>
          <w:bCs/>
          <w:color w:val="000000" w:themeColor="text1"/>
        </w:rPr>
        <w:t>Methods</w:t>
      </w:r>
    </w:p>
    <w:p w14:paraId="7DA986AA" w14:textId="01531C84" w:rsidR="005262D8" w:rsidRPr="00A52DB8" w:rsidRDefault="0086562B" w:rsidP="00A52DB8">
      <w:pPr>
        <w:spacing w:before="75" w:after="240"/>
        <w:rPr>
          <w:rFonts w:ascii="Times" w:eastAsia="Times New Roman" w:hAnsi="Times" w:cs="Times New Roman"/>
          <w:color w:val="000000" w:themeColor="text1"/>
        </w:rPr>
      </w:pPr>
      <w:r w:rsidRPr="00A52DB8">
        <w:rPr>
          <w:rFonts w:ascii="Times" w:eastAsia="Times New Roman" w:hAnsi="Times" w:cs="Times New Roman"/>
          <w:color w:val="000000" w:themeColor="text1"/>
        </w:rPr>
        <w:t xml:space="preserve">We utilized </w:t>
      </w:r>
      <w:r w:rsidR="005262D8" w:rsidRPr="00A52DB8">
        <w:rPr>
          <w:rFonts w:ascii="Times" w:eastAsia="Times New Roman" w:hAnsi="Times" w:cs="Times New Roman"/>
          <w:color w:val="000000" w:themeColor="text1"/>
        </w:rPr>
        <w:t xml:space="preserve">the </w:t>
      </w:r>
      <w:r w:rsidR="00823E58" w:rsidRPr="00A52DB8">
        <w:rPr>
          <w:rFonts w:ascii="Times" w:eastAsia="Times New Roman" w:hAnsi="Times" w:cs="Times New Roman"/>
          <w:color w:val="000000" w:themeColor="text1"/>
        </w:rPr>
        <w:t>National Readmissions D</w:t>
      </w:r>
      <w:r w:rsidR="005262D8" w:rsidRPr="00A52DB8">
        <w:rPr>
          <w:rFonts w:ascii="Times" w:eastAsia="Times New Roman" w:hAnsi="Times" w:cs="Times New Roman"/>
          <w:color w:val="000000" w:themeColor="text1"/>
        </w:rPr>
        <w:t>atabase</w:t>
      </w:r>
      <w:r w:rsidRPr="00A52DB8">
        <w:rPr>
          <w:rFonts w:ascii="Times" w:eastAsia="Times New Roman" w:hAnsi="Times" w:cs="Times New Roman"/>
          <w:color w:val="000000" w:themeColor="text1"/>
        </w:rPr>
        <w:t xml:space="preserve"> </w:t>
      </w:r>
      <w:r w:rsidR="00823E58" w:rsidRPr="00A52DB8">
        <w:rPr>
          <w:rFonts w:ascii="Times" w:eastAsia="Times New Roman" w:hAnsi="Times" w:cs="Times New Roman"/>
          <w:color w:val="000000" w:themeColor="text1"/>
        </w:rPr>
        <w:t xml:space="preserve">(NRD) </w:t>
      </w:r>
      <w:r w:rsidRPr="00A52DB8">
        <w:rPr>
          <w:rFonts w:ascii="Times" w:eastAsia="Times New Roman" w:hAnsi="Times" w:cs="Times New Roman"/>
          <w:color w:val="000000" w:themeColor="text1"/>
        </w:rPr>
        <w:t xml:space="preserve">from </w:t>
      </w:r>
      <w:r w:rsidR="00BF6969" w:rsidRPr="00A52DB8">
        <w:rPr>
          <w:rFonts w:ascii="Times" w:eastAsia="Times New Roman" w:hAnsi="Times" w:cs="Times New Roman"/>
          <w:color w:val="000000" w:themeColor="text1"/>
        </w:rPr>
        <w:t>2010 to 201</w:t>
      </w:r>
      <w:r w:rsidR="00823E58" w:rsidRPr="00A52DB8">
        <w:rPr>
          <w:rFonts w:ascii="Times" w:eastAsia="Times New Roman" w:hAnsi="Times" w:cs="Times New Roman"/>
          <w:color w:val="000000" w:themeColor="text1"/>
        </w:rPr>
        <w:t>8</w:t>
      </w:r>
      <w:r w:rsidR="00BF6969" w:rsidRPr="00A52DB8">
        <w:rPr>
          <w:rFonts w:ascii="Times" w:eastAsia="Times New Roman" w:hAnsi="Times" w:cs="Times New Roman"/>
          <w:color w:val="000000" w:themeColor="text1"/>
        </w:rPr>
        <w:t xml:space="preserve"> </w:t>
      </w:r>
      <w:r w:rsidRPr="00A52DB8">
        <w:rPr>
          <w:rFonts w:ascii="Times" w:eastAsia="Times New Roman" w:hAnsi="Times" w:cs="Times New Roman"/>
          <w:color w:val="000000" w:themeColor="text1"/>
        </w:rPr>
        <w:t xml:space="preserve">to identify </w:t>
      </w:r>
      <w:r w:rsidR="005262D8" w:rsidRPr="00A52DB8">
        <w:rPr>
          <w:rFonts w:ascii="Times" w:eastAsia="Times New Roman" w:hAnsi="Times" w:cs="Times New Roman"/>
          <w:color w:val="000000" w:themeColor="text1"/>
        </w:rPr>
        <w:t xml:space="preserve">nonagenarians </w:t>
      </w:r>
      <w:r w:rsidRPr="00A52DB8">
        <w:rPr>
          <w:rFonts w:ascii="Times" w:eastAsia="Times New Roman" w:hAnsi="Times" w:cs="Times New Roman"/>
          <w:color w:val="000000" w:themeColor="text1"/>
        </w:rPr>
        <w:t xml:space="preserve">hospitalized with </w:t>
      </w:r>
      <w:r w:rsidR="005262D8" w:rsidRPr="00A52DB8">
        <w:rPr>
          <w:rFonts w:ascii="Times" w:eastAsia="Times New Roman" w:hAnsi="Times" w:cs="Times New Roman"/>
          <w:color w:val="000000" w:themeColor="text1"/>
        </w:rPr>
        <w:t>STEMI</w:t>
      </w:r>
      <w:r w:rsidRPr="00A52DB8">
        <w:rPr>
          <w:rFonts w:ascii="Times" w:eastAsia="Times New Roman" w:hAnsi="Times" w:cs="Times New Roman"/>
          <w:color w:val="000000" w:themeColor="text1"/>
        </w:rPr>
        <w:t>. We divided the total cohort into two groups based on</w:t>
      </w:r>
      <w:r w:rsidR="001465AF" w:rsidRPr="00A52DB8">
        <w:rPr>
          <w:rFonts w:ascii="Times" w:eastAsia="Times New Roman" w:hAnsi="Times" w:cs="Times New Roman"/>
          <w:color w:val="000000" w:themeColor="text1"/>
        </w:rPr>
        <w:t xml:space="preserve"> </w:t>
      </w:r>
      <w:r w:rsidRPr="00A52DB8">
        <w:rPr>
          <w:rFonts w:ascii="Times" w:eastAsia="Times New Roman" w:hAnsi="Times" w:cs="Times New Roman"/>
          <w:color w:val="000000" w:themeColor="text1"/>
        </w:rPr>
        <w:t>pPCI status. We analyzed 30-day readmission rates, mortality at the time of readmission</w:t>
      </w:r>
      <w:r w:rsidR="00D44C18" w:rsidRPr="00A52DB8">
        <w:rPr>
          <w:rFonts w:ascii="Times" w:eastAsia="Times New Roman" w:hAnsi="Times" w:cs="Times New Roman"/>
          <w:color w:val="000000" w:themeColor="text1"/>
        </w:rPr>
        <w:t>,</w:t>
      </w:r>
      <w:r w:rsidRPr="00A52DB8">
        <w:rPr>
          <w:rFonts w:ascii="Times" w:eastAsia="Times New Roman" w:hAnsi="Times" w:cs="Times New Roman"/>
          <w:color w:val="000000" w:themeColor="text1"/>
        </w:rPr>
        <w:t xml:space="preserve"> and causes of readmissions in both cohorts.</w:t>
      </w:r>
    </w:p>
    <w:p w14:paraId="7075DE65" w14:textId="77777777" w:rsidR="005262D8" w:rsidRPr="00A52DB8" w:rsidRDefault="005262D8" w:rsidP="00A52DB8">
      <w:pPr>
        <w:spacing w:before="180" w:after="180"/>
        <w:outlineLvl w:val="2"/>
        <w:rPr>
          <w:rFonts w:ascii="Times" w:eastAsia="Times New Roman" w:hAnsi="Times" w:cs="Times New Roman"/>
          <w:b/>
          <w:bCs/>
          <w:color w:val="000000" w:themeColor="text1"/>
        </w:rPr>
      </w:pPr>
      <w:r w:rsidRPr="00A52DB8">
        <w:rPr>
          <w:rFonts w:ascii="Times" w:eastAsia="Times New Roman" w:hAnsi="Times" w:cs="Times New Roman"/>
          <w:b/>
          <w:bCs/>
          <w:color w:val="000000" w:themeColor="text1"/>
        </w:rPr>
        <w:t>Results</w:t>
      </w:r>
    </w:p>
    <w:p w14:paraId="0E459DB1" w14:textId="4600BC3F" w:rsidR="00811041" w:rsidRPr="00A52DB8" w:rsidRDefault="005262D8" w:rsidP="00A52DB8">
      <w:pPr>
        <w:spacing w:before="75" w:after="240"/>
        <w:rPr>
          <w:rFonts w:ascii="Times" w:eastAsia="Times New Roman" w:hAnsi="Times" w:cs="Times New Roman"/>
          <w:color w:val="000000" w:themeColor="text1"/>
        </w:rPr>
      </w:pPr>
      <w:r w:rsidRPr="00A52DB8">
        <w:rPr>
          <w:rFonts w:ascii="Times" w:eastAsia="Times New Roman" w:hAnsi="Times" w:cs="Times New Roman"/>
          <w:color w:val="000000" w:themeColor="text1"/>
        </w:rPr>
        <w:t>Between 2010–201</w:t>
      </w:r>
      <w:r w:rsidR="00823E58" w:rsidRPr="00A52DB8">
        <w:rPr>
          <w:rFonts w:ascii="Times" w:eastAsia="Times New Roman" w:hAnsi="Times" w:cs="Times New Roman"/>
          <w:color w:val="000000" w:themeColor="text1"/>
        </w:rPr>
        <w:t>8</w:t>
      </w:r>
      <w:r w:rsidRPr="00A52DB8">
        <w:rPr>
          <w:rFonts w:ascii="Times" w:eastAsia="Times New Roman" w:hAnsi="Times" w:cs="Times New Roman"/>
          <w:color w:val="000000" w:themeColor="text1"/>
        </w:rPr>
        <w:t xml:space="preserve">, </w:t>
      </w:r>
      <w:r w:rsidR="000420F2" w:rsidRPr="00A52DB8">
        <w:rPr>
          <w:rFonts w:ascii="Times" w:eastAsia="Times New Roman" w:hAnsi="Times" w:cs="Times New Roman"/>
          <w:color w:val="000000" w:themeColor="text1"/>
        </w:rPr>
        <w:t xml:space="preserve">an estimated </w:t>
      </w:r>
      <w:r w:rsidR="00811041" w:rsidRPr="00A52DB8">
        <w:rPr>
          <w:rFonts w:ascii="Times" w:eastAsia="Times New Roman" w:hAnsi="Times" w:cs="Times New Roman"/>
          <w:color w:val="000000" w:themeColor="text1"/>
        </w:rPr>
        <w:t>37</w:t>
      </w:r>
      <w:r w:rsidRPr="00A52DB8">
        <w:rPr>
          <w:rFonts w:ascii="Times" w:eastAsia="Times New Roman" w:hAnsi="Times" w:cs="Times New Roman"/>
          <w:color w:val="000000" w:themeColor="text1"/>
        </w:rPr>
        <w:t>,</w:t>
      </w:r>
      <w:r w:rsidR="00811041" w:rsidRPr="00A52DB8">
        <w:rPr>
          <w:rFonts w:ascii="Times" w:eastAsia="Times New Roman" w:hAnsi="Times" w:cs="Times New Roman"/>
          <w:color w:val="000000" w:themeColor="text1"/>
        </w:rPr>
        <w:t>363</w:t>
      </w:r>
      <w:r w:rsidRPr="00A52DB8">
        <w:rPr>
          <w:rFonts w:ascii="Times" w:eastAsia="Times New Roman" w:hAnsi="Times" w:cs="Times New Roman"/>
          <w:color w:val="000000" w:themeColor="text1"/>
        </w:rPr>
        <w:t xml:space="preserve"> STEMI hospitalizations were identified in nonagenarians, of which</w:t>
      </w:r>
      <w:r w:rsidR="00BA17D4" w:rsidRPr="00A52DB8">
        <w:rPr>
          <w:rFonts w:ascii="Times" w:eastAsia="Times New Roman" w:hAnsi="Times" w:cs="Times New Roman"/>
          <w:color w:val="000000" w:themeColor="text1"/>
        </w:rPr>
        <w:t xml:space="preserve"> </w:t>
      </w:r>
      <w:r w:rsidR="00811041" w:rsidRPr="00A52DB8">
        <w:rPr>
          <w:rFonts w:ascii="Times" w:eastAsia="Times New Roman" w:hAnsi="Times" w:cs="Times New Roman"/>
          <w:color w:val="000000" w:themeColor="text1"/>
        </w:rPr>
        <w:t>12,062</w:t>
      </w:r>
      <w:r w:rsidRPr="00A52DB8">
        <w:rPr>
          <w:rFonts w:ascii="Times" w:eastAsia="Times New Roman" w:hAnsi="Times" w:cs="Times New Roman"/>
          <w:color w:val="000000" w:themeColor="text1"/>
        </w:rPr>
        <w:t xml:space="preserve"> (</w:t>
      </w:r>
      <w:r w:rsidR="00811041" w:rsidRPr="00A52DB8">
        <w:rPr>
          <w:rFonts w:ascii="Times" w:eastAsia="Times New Roman" w:hAnsi="Times" w:cs="Times New Roman"/>
          <w:color w:val="000000" w:themeColor="text1"/>
        </w:rPr>
        <w:t>32.3</w:t>
      </w:r>
      <w:r w:rsidRPr="00A52DB8">
        <w:rPr>
          <w:rFonts w:ascii="Times" w:eastAsia="Times New Roman" w:hAnsi="Times" w:cs="Times New Roman"/>
          <w:color w:val="000000" w:themeColor="text1"/>
        </w:rPr>
        <w:t xml:space="preserve">%) </w:t>
      </w:r>
      <w:r w:rsidR="00831195" w:rsidRPr="00A52DB8">
        <w:rPr>
          <w:rFonts w:ascii="Times" w:eastAsia="Times New Roman" w:hAnsi="Times" w:cs="Times New Roman"/>
          <w:color w:val="000000" w:themeColor="text1"/>
        </w:rPr>
        <w:t>included</w:t>
      </w:r>
      <w:r w:rsidRPr="00A52DB8">
        <w:rPr>
          <w:rFonts w:ascii="Times" w:eastAsia="Times New Roman" w:hAnsi="Times" w:cs="Times New Roman"/>
          <w:color w:val="000000" w:themeColor="text1"/>
        </w:rPr>
        <w:t xml:space="preserve"> pPCI</w:t>
      </w:r>
      <w:r w:rsidR="000420F2" w:rsidRPr="00A52DB8">
        <w:rPr>
          <w:rFonts w:ascii="Times" w:eastAsia="Times New Roman" w:hAnsi="Times" w:cs="Times New Roman"/>
          <w:color w:val="000000" w:themeColor="text1"/>
        </w:rPr>
        <w:t xml:space="preserve"> and</w:t>
      </w:r>
      <w:r w:rsidR="00BF6969" w:rsidRPr="00A52DB8">
        <w:rPr>
          <w:rFonts w:ascii="Times" w:eastAsia="Times New Roman" w:hAnsi="Times" w:cs="Times New Roman"/>
          <w:color w:val="000000" w:themeColor="text1"/>
        </w:rPr>
        <w:t xml:space="preserve"> 2</w:t>
      </w:r>
      <w:r w:rsidR="0077416E" w:rsidRPr="00A52DB8">
        <w:rPr>
          <w:rFonts w:ascii="Times" w:eastAsia="Times New Roman" w:hAnsi="Times" w:cs="Times New Roman"/>
          <w:color w:val="000000" w:themeColor="text1"/>
        </w:rPr>
        <w:t>5</w:t>
      </w:r>
      <w:r w:rsidR="00BF6969" w:rsidRPr="00A52DB8">
        <w:rPr>
          <w:rFonts w:ascii="Times" w:eastAsia="Times New Roman" w:hAnsi="Times" w:cs="Times New Roman"/>
          <w:color w:val="000000" w:themeColor="text1"/>
        </w:rPr>
        <w:t>,</w:t>
      </w:r>
      <w:r w:rsidR="0077416E" w:rsidRPr="00A52DB8">
        <w:rPr>
          <w:rFonts w:ascii="Times" w:eastAsia="Times New Roman" w:hAnsi="Times" w:cs="Times New Roman"/>
          <w:color w:val="000000" w:themeColor="text1"/>
        </w:rPr>
        <w:t>301</w:t>
      </w:r>
      <w:r w:rsidR="00BF6969" w:rsidRPr="00A52DB8">
        <w:rPr>
          <w:rFonts w:ascii="Times" w:eastAsia="Times New Roman" w:hAnsi="Times" w:cs="Times New Roman"/>
          <w:color w:val="000000" w:themeColor="text1"/>
        </w:rPr>
        <w:t xml:space="preserve"> (</w:t>
      </w:r>
      <w:r w:rsidR="0077416E" w:rsidRPr="00A52DB8">
        <w:rPr>
          <w:rFonts w:ascii="Times" w:eastAsia="Times New Roman" w:hAnsi="Times" w:cs="Times New Roman"/>
          <w:color w:val="000000" w:themeColor="text1"/>
        </w:rPr>
        <w:t>67.7</w:t>
      </w:r>
      <w:r w:rsidR="00BF6969" w:rsidRPr="00A52DB8">
        <w:rPr>
          <w:rFonts w:ascii="Times" w:eastAsia="Times New Roman" w:hAnsi="Times" w:cs="Times New Roman"/>
          <w:color w:val="000000" w:themeColor="text1"/>
        </w:rPr>
        <w:t xml:space="preserve">%) </w:t>
      </w:r>
      <w:r w:rsidR="00831195" w:rsidRPr="00A52DB8">
        <w:rPr>
          <w:rFonts w:ascii="Times" w:eastAsia="Times New Roman" w:hAnsi="Times" w:cs="Times New Roman"/>
          <w:color w:val="000000" w:themeColor="text1"/>
        </w:rPr>
        <w:t xml:space="preserve">had </w:t>
      </w:r>
      <w:r w:rsidR="0094042F" w:rsidRPr="00A52DB8">
        <w:rPr>
          <w:rFonts w:ascii="Times" w:eastAsia="Times New Roman" w:hAnsi="Times" w:cs="Times New Roman"/>
          <w:color w:val="000000" w:themeColor="text1"/>
        </w:rPr>
        <w:t xml:space="preserve">no </w:t>
      </w:r>
      <w:r w:rsidR="00BF6969" w:rsidRPr="00A52DB8">
        <w:rPr>
          <w:rFonts w:ascii="Times" w:eastAsia="Times New Roman" w:hAnsi="Times" w:cs="Times New Roman"/>
          <w:color w:val="000000" w:themeColor="text1"/>
        </w:rPr>
        <w:t>pPCI</w:t>
      </w:r>
      <w:r w:rsidRPr="00A52DB8">
        <w:rPr>
          <w:rFonts w:ascii="Times" w:eastAsia="Times New Roman" w:hAnsi="Times" w:cs="Times New Roman"/>
          <w:color w:val="000000" w:themeColor="text1"/>
        </w:rPr>
        <w:t xml:space="preserve">. </w:t>
      </w:r>
      <w:r w:rsidR="00393216">
        <w:rPr>
          <w:rFonts w:ascii="Times" w:eastAsia="Times New Roman" w:hAnsi="Times" w:cs="Times New Roman"/>
          <w:color w:val="000000" w:themeColor="text1"/>
        </w:rPr>
        <w:t>The o</w:t>
      </w:r>
      <w:r w:rsidRPr="00A52DB8">
        <w:rPr>
          <w:rFonts w:ascii="Times" w:eastAsia="Times New Roman" w:hAnsi="Times" w:cs="Times New Roman"/>
          <w:color w:val="000000" w:themeColor="text1"/>
        </w:rPr>
        <w:t>verall</w:t>
      </w:r>
      <w:r w:rsidR="00393216">
        <w:rPr>
          <w:rFonts w:ascii="Times" w:eastAsia="Times New Roman" w:hAnsi="Times" w:cs="Times New Roman"/>
          <w:color w:val="000000" w:themeColor="text1"/>
        </w:rPr>
        <w:t xml:space="preserve"> </w:t>
      </w:r>
      <w:r w:rsidR="00811041" w:rsidRPr="00A52DB8">
        <w:rPr>
          <w:rFonts w:ascii="Times" w:eastAsia="Times New Roman" w:hAnsi="Times" w:cs="Times New Roman"/>
          <w:color w:val="000000" w:themeColor="text1"/>
        </w:rPr>
        <w:t xml:space="preserve">30-day readmission </w:t>
      </w:r>
      <w:r w:rsidR="00B81570">
        <w:rPr>
          <w:rFonts w:ascii="Times" w:eastAsia="Times New Roman" w:hAnsi="Times" w:cs="Times New Roman"/>
          <w:color w:val="000000" w:themeColor="text1"/>
        </w:rPr>
        <w:t xml:space="preserve">rate </w:t>
      </w:r>
      <w:r w:rsidR="00393216">
        <w:rPr>
          <w:rFonts w:ascii="Times" w:hAnsi="Times"/>
          <w:color w:val="000000" w:themeColor="text1"/>
        </w:rPr>
        <w:t xml:space="preserve">was </w:t>
      </w:r>
      <w:r w:rsidR="00B81570">
        <w:rPr>
          <w:rFonts w:ascii="Times" w:hAnsi="Times"/>
          <w:color w:val="000000" w:themeColor="text1"/>
        </w:rPr>
        <w:t xml:space="preserve">18.1% and was </w:t>
      </w:r>
      <w:r w:rsidR="00811041" w:rsidRPr="00A52DB8">
        <w:rPr>
          <w:rFonts w:ascii="Times" w:eastAsia="Times New Roman" w:hAnsi="Times" w:cs="Times New Roman"/>
          <w:color w:val="000000" w:themeColor="text1"/>
        </w:rPr>
        <w:t xml:space="preserve">higher </w:t>
      </w:r>
      <w:r w:rsidR="000420F2" w:rsidRPr="00A52DB8">
        <w:rPr>
          <w:rFonts w:ascii="Times" w:eastAsia="Times New Roman" w:hAnsi="Times" w:cs="Times New Roman"/>
          <w:color w:val="000000" w:themeColor="text1"/>
        </w:rPr>
        <w:t xml:space="preserve">in pPCI </w:t>
      </w:r>
      <w:r w:rsidR="001465AF" w:rsidRPr="00A52DB8">
        <w:rPr>
          <w:rFonts w:ascii="Times" w:eastAsia="Times New Roman" w:hAnsi="Times" w:cs="Times New Roman"/>
          <w:color w:val="000000" w:themeColor="text1"/>
        </w:rPr>
        <w:t xml:space="preserve">cohort </w:t>
      </w:r>
      <w:r w:rsidR="00811041" w:rsidRPr="00A52DB8">
        <w:rPr>
          <w:rFonts w:ascii="Times" w:eastAsia="Times New Roman" w:hAnsi="Times" w:cs="Times New Roman"/>
          <w:color w:val="000000" w:themeColor="text1"/>
        </w:rPr>
        <w:t xml:space="preserve">compared </w:t>
      </w:r>
      <w:r w:rsidR="000420F2" w:rsidRPr="00A52DB8">
        <w:rPr>
          <w:rFonts w:ascii="Times" w:eastAsia="Times New Roman" w:hAnsi="Times" w:cs="Times New Roman"/>
          <w:color w:val="000000" w:themeColor="text1"/>
        </w:rPr>
        <w:t xml:space="preserve">with no pPCI </w:t>
      </w:r>
      <w:r w:rsidR="00811041" w:rsidRPr="00A52DB8">
        <w:rPr>
          <w:rFonts w:ascii="Times" w:eastAsia="Times New Roman" w:hAnsi="Times" w:cs="Times New Roman"/>
          <w:color w:val="000000" w:themeColor="text1"/>
        </w:rPr>
        <w:t>(22.1% vs 16.</w:t>
      </w:r>
      <w:r w:rsidR="004E12EB" w:rsidRPr="00A52DB8">
        <w:rPr>
          <w:rFonts w:ascii="Times" w:eastAsia="Times New Roman" w:hAnsi="Times" w:cs="Times New Roman"/>
          <w:color w:val="000000" w:themeColor="text1"/>
        </w:rPr>
        <w:t>2</w:t>
      </w:r>
      <w:r w:rsidR="00811041" w:rsidRPr="00A52DB8">
        <w:rPr>
          <w:rFonts w:ascii="Times" w:eastAsia="Times New Roman" w:hAnsi="Times" w:cs="Times New Roman"/>
          <w:color w:val="000000" w:themeColor="text1"/>
        </w:rPr>
        <w:t>%</w:t>
      </w:r>
      <w:r w:rsidR="002F3CDE" w:rsidRPr="00A52DB8">
        <w:rPr>
          <w:rFonts w:ascii="Times" w:eastAsia="Times New Roman" w:hAnsi="Times" w:cs="Times New Roman"/>
          <w:color w:val="000000" w:themeColor="text1"/>
        </w:rPr>
        <w:t>; p&lt;0.01</w:t>
      </w:r>
      <w:r w:rsidR="00811041" w:rsidRPr="00A52DB8">
        <w:rPr>
          <w:rFonts w:ascii="Times" w:eastAsia="Times New Roman" w:hAnsi="Times" w:cs="Times New Roman"/>
          <w:color w:val="000000" w:themeColor="text1"/>
        </w:rPr>
        <w:t xml:space="preserve">). However, the </w:t>
      </w:r>
      <w:r w:rsidR="00336D63" w:rsidRPr="00A52DB8">
        <w:rPr>
          <w:rFonts w:ascii="Times" w:hAnsi="Times" w:cs="Times New Roman"/>
          <w:color w:val="000000" w:themeColor="text1"/>
        </w:rPr>
        <w:t>in-hospital mortality rate</w:t>
      </w:r>
      <w:r w:rsidR="0094042F" w:rsidRPr="00A52DB8">
        <w:rPr>
          <w:rFonts w:ascii="Times" w:hAnsi="Times" w:cs="Times New Roman"/>
          <w:color w:val="000000" w:themeColor="text1"/>
        </w:rPr>
        <w:t>s</w:t>
      </w:r>
      <w:r w:rsidR="00336D63" w:rsidRPr="00A52DB8">
        <w:rPr>
          <w:rFonts w:ascii="Times" w:hAnsi="Times" w:cs="Times New Roman"/>
          <w:color w:val="000000" w:themeColor="text1"/>
        </w:rPr>
        <w:t xml:space="preserve"> at 30-day readmission</w:t>
      </w:r>
      <w:r w:rsidR="00811041" w:rsidRPr="00A52DB8">
        <w:rPr>
          <w:rFonts w:ascii="Times" w:eastAsia="Times New Roman" w:hAnsi="Times" w:cs="Times New Roman"/>
          <w:color w:val="000000" w:themeColor="text1"/>
        </w:rPr>
        <w:t xml:space="preserve"> </w:t>
      </w:r>
      <w:r w:rsidR="00336D63" w:rsidRPr="00A52DB8">
        <w:rPr>
          <w:rFonts w:ascii="Times" w:eastAsia="Times New Roman" w:hAnsi="Times" w:cs="Times New Roman"/>
          <w:color w:val="000000" w:themeColor="text1"/>
        </w:rPr>
        <w:t>were</w:t>
      </w:r>
      <w:r w:rsidR="00811041" w:rsidRPr="00A52DB8">
        <w:rPr>
          <w:rFonts w:ascii="Times" w:eastAsia="Times New Roman" w:hAnsi="Times" w:cs="Times New Roman"/>
          <w:color w:val="000000" w:themeColor="text1"/>
        </w:rPr>
        <w:t xml:space="preserve"> </w:t>
      </w:r>
      <w:r w:rsidRPr="00A52DB8">
        <w:rPr>
          <w:rFonts w:ascii="Times" w:eastAsia="Times New Roman" w:hAnsi="Times" w:cs="Times New Roman"/>
          <w:color w:val="000000" w:themeColor="text1"/>
        </w:rPr>
        <w:t xml:space="preserve">significantly lower </w:t>
      </w:r>
      <w:r w:rsidR="000420F2" w:rsidRPr="00A52DB8">
        <w:rPr>
          <w:rFonts w:ascii="Times" w:eastAsia="Times New Roman" w:hAnsi="Times" w:cs="Times New Roman"/>
          <w:color w:val="000000" w:themeColor="text1"/>
        </w:rPr>
        <w:t xml:space="preserve">in pPCI </w:t>
      </w:r>
      <w:r w:rsidR="001465AF" w:rsidRPr="00A52DB8">
        <w:rPr>
          <w:rFonts w:ascii="Times" w:eastAsia="Times New Roman" w:hAnsi="Times" w:cs="Times New Roman"/>
          <w:color w:val="000000" w:themeColor="text1"/>
        </w:rPr>
        <w:t xml:space="preserve">cohort </w:t>
      </w:r>
      <w:r w:rsidRPr="00A52DB8">
        <w:rPr>
          <w:rFonts w:ascii="Times" w:eastAsia="Times New Roman" w:hAnsi="Times" w:cs="Times New Roman"/>
          <w:color w:val="000000" w:themeColor="text1"/>
        </w:rPr>
        <w:t xml:space="preserve">compared </w:t>
      </w:r>
      <w:r w:rsidR="000420F2" w:rsidRPr="00A52DB8">
        <w:rPr>
          <w:rFonts w:ascii="Times" w:eastAsia="Times New Roman" w:hAnsi="Times" w:cs="Times New Roman"/>
          <w:color w:val="000000" w:themeColor="text1"/>
        </w:rPr>
        <w:t xml:space="preserve">with </w:t>
      </w:r>
      <w:r w:rsidR="001465AF" w:rsidRPr="00A52DB8">
        <w:rPr>
          <w:rFonts w:ascii="Times" w:eastAsia="Times New Roman" w:hAnsi="Times" w:cs="Times New Roman"/>
          <w:color w:val="000000" w:themeColor="text1"/>
        </w:rPr>
        <w:t xml:space="preserve">no </w:t>
      </w:r>
      <w:r w:rsidR="00ED5E82" w:rsidRPr="00A52DB8">
        <w:rPr>
          <w:rFonts w:ascii="Times" w:eastAsia="Times New Roman" w:hAnsi="Times" w:cs="Times New Roman"/>
          <w:color w:val="000000" w:themeColor="text1"/>
        </w:rPr>
        <w:t xml:space="preserve">pPCI </w:t>
      </w:r>
      <w:r w:rsidRPr="00A52DB8">
        <w:rPr>
          <w:rFonts w:ascii="Times" w:eastAsia="Times New Roman" w:hAnsi="Times" w:cs="Times New Roman"/>
          <w:color w:val="000000" w:themeColor="text1"/>
        </w:rPr>
        <w:t>(</w:t>
      </w:r>
      <w:r w:rsidR="00336D63" w:rsidRPr="00A52DB8">
        <w:rPr>
          <w:rFonts w:ascii="Times" w:eastAsia="Times New Roman" w:hAnsi="Times" w:cs="Times New Roman"/>
          <w:color w:val="000000" w:themeColor="text1"/>
        </w:rPr>
        <w:t>7.0% vs 14.3%</w:t>
      </w:r>
      <w:r w:rsidR="002F3CDE" w:rsidRPr="00A52DB8">
        <w:rPr>
          <w:rFonts w:ascii="Times" w:eastAsia="Times New Roman" w:hAnsi="Times" w:cs="Times New Roman"/>
          <w:color w:val="000000" w:themeColor="text1"/>
        </w:rPr>
        <w:t>; p&lt;0.01</w:t>
      </w:r>
      <w:r w:rsidRPr="00A52DB8">
        <w:rPr>
          <w:rFonts w:ascii="Times" w:eastAsia="Times New Roman" w:hAnsi="Times" w:cs="Times New Roman"/>
          <w:color w:val="000000" w:themeColor="text1"/>
        </w:rPr>
        <w:t xml:space="preserve">). </w:t>
      </w:r>
      <w:r w:rsidR="000420F2" w:rsidRPr="00A52DB8">
        <w:rPr>
          <w:rFonts w:ascii="Times" w:eastAsia="Times New Roman" w:hAnsi="Times" w:cs="Times New Roman"/>
          <w:color w:val="000000" w:themeColor="text1"/>
        </w:rPr>
        <w:t>H</w:t>
      </w:r>
      <w:r w:rsidR="00336D63" w:rsidRPr="00A52DB8">
        <w:rPr>
          <w:rFonts w:ascii="Times" w:eastAsia="Times New Roman" w:hAnsi="Times" w:cs="Times New Roman"/>
          <w:color w:val="000000" w:themeColor="text1"/>
        </w:rPr>
        <w:t xml:space="preserve">eart failure </w:t>
      </w:r>
      <w:r w:rsidR="000420F2" w:rsidRPr="00A52DB8">
        <w:rPr>
          <w:rFonts w:ascii="Times" w:eastAsia="Times New Roman" w:hAnsi="Times" w:cs="Times New Roman"/>
          <w:color w:val="000000" w:themeColor="text1"/>
        </w:rPr>
        <w:t xml:space="preserve">is the most common cause of 30-day readmissions in both cohorts, </w:t>
      </w:r>
      <w:r w:rsidR="00336D63" w:rsidRPr="00A52DB8">
        <w:rPr>
          <w:rFonts w:ascii="Times" w:eastAsia="Times New Roman" w:hAnsi="Times" w:cs="Times New Roman"/>
          <w:color w:val="000000" w:themeColor="text1"/>
        </w:rPr>
        <w:t>followed by acute myocardial infarction</w:t>
      </w:r>
      <w:r w:rsidR="008B75DE" w:rsidRPr="00A52DB8">
        <w:rPr>
          <w:rFonts w:ascii="Times" w:eastAsia="Times New Roman" w:hAnsi="Times" w:cs="Times New Roman"/>
          <w:color w:val="000000" w:themeColor="text1"/>
        </w:rPr>
        <w:t xml:space="preserve"> (MI) </w:t>
      </w:r>
      <w:r w:rsidR="00336D63" w:rsidRPr="00A52DB8">
        <w:rPr>
          <w:rFonts w:ascii="Times" w:eastAsia="Times New Roman" w:hAnsi="Times" w:cs="Times New Roman"/>
          <w:color w:val="000000" w:themeColor="text1"/>
        </w:rPr>
        <w:t>and gastrointestinal hemorrhage</w:t>
      </w:r>
      <w:r w:rsidR="000420F2" w:rsidRPr="00A52DB8">
        <w:rPr>
          <w:rFonts w:ascii="Times" w:eastAsia="Times New Roman" w:hAnsi="Times" w:cs="Times New Roman"/>
          <w:color w:val="000000" w:themeColor="text1"/>
        </w:rPr>
        <w:t>.</w:t>
      </w:r>
      <w:r w:rsidR="00B732A6" w:rsidRPr="00A52DB8">
        <w:rPr>
          <w:rFonts w:ascii="Times" w:eastAsia="Times New Roman" w:hAnsi="Times" w:cs="Times New Roman"/>
          <w:color w:val="000000" w:themeColor="text1"/>
        </w:rPr>
        <w:t xml:space="preserve"> </w:t>
      </w:r>
      <w:r w:rsidR="000420F2" w:rsidRPr="00A52DB8">
        <w:rPr>
          <w:rFonts w:ascii="Times" w:eastAsia="Times New Roman" w:hAnsi="Times" w:cs="Times New Roman"/>
          <w:color w:val="000000" w:themeColor="text1"/>
        </w:rPr>
        <w:t>Recurrent</w:t>
      </w:r>
      <w:r w:rsidR="00336D63" w:rsidRPr="00A52DB8">
        <w:rPr>
          <w:rFonts w:ascii="Times" w:eastAsia="Times New Roman" w:hAnsi="Times" w:cs="Times New Roman"/>
          <w:color w:val="000000" w:themeColor="text1"/>
        </w:rPr>
        <w:t xml:space="preserve"> MI rates </w:t>
      </w:r>
      <w:r w:rsidR="000420F2" w:rsidRPr="00A52DB8">
        <w:rPr>
          <w:rFonts w:ascii="Times" w:eastAsia="Times New Roman" w:hAnsi="Times" w:cs="Times New Roman"/>
          <w:color w:val="000000" w:themeColor="text1"/>
        </w:rPr>
        <w:t>were</w:t>
      </w:r>
      <w:r w:rsidR="00336D63" w:rsidRPr="00A52DB8">
        <w:rPr>
          <w:rFonts w:ascii="Times" w:eastAsia="Times New Roman" w:hAnsi="Times" w:cs="Times New Roman"/>
          <w:color w:val="000000" w:themeColor="text1"/>
        </w:rPr>
        <w:t xml:space="preserve"> significantly lower </w:t>
      </w:r>
      <w:r w:rsidR="000420F2" w:rsidRPr="00A52DB8">
        <w:rPr>
          <w:rFonts w:ascii="Times" w:eastAsia="Times New Roman" w:hAnsi="Times" w:cs="Times New Roman"/>
          <w:color w:val="000000" w:themeColor="text1"/>
        </w:rPr>
        <w:t>in</w:t>
      </w:r>
      <w:r w:rsidR="00B732A6" w:rsidRPr="00A52DB8">
        <w:rPr>
          <w:rFonts w:ascii="Times" w:eastAsia="Times New Roman" w:hAnsi="Times" w:cs="Times New Roman"/>
          <w:color w:val="000000" w:themeColor="text1"/>
        </w:rPr>
        <w:t xml:space="preserve"> pPCI </w:t>
      </w:r>
      <w:r w:rsidR="001465AF" w:rsidRPr="00A52DB8">
        <w:rPr>
          <w:rFonts w:ascii="Times" w:eastAsia="Times New Roman" w:hAnsi="Times" w:cs="Times New Roman"/>
          <w:color w:val="000000" w:themeColor="text1"/>
        </w:rPr>
        <w:t>cohort</w:t>
      </w:r>
      <w:r w:rsidR="008B75DE" w:rsidRPr="00A52DB8">
        <w:rPr>
          <w:rFonts w:ascii="Times" w:eastAsia="Times New Roman" w:hAnsi="Times" w:cs="Times New Roman"/>
          <w:color w:val="000000" w:themeColor="text1"/>
        </w:rPr>
        <w:t xml:space="preserve"> </w:t>
      </w:r>
      <w:r w:rsidR="00B732A6" w:rsidRPr="00A52DB8">
        <w:rPr>
          <w:rFonts w:ascii="Times" w:eastAsia="Times New Roman" w:hAnsi="Times" w:cs="Times New Roman"/>
          <w:color w:val="000000" w:themeColor="text1"/>
        </w:rPr>
        <w:t>compared</w:t>
      </w:r>
      <w:r w:rsidR="000420F2" w:rsidRPr="00A52DB8">
        <w:rPr>
          <w:rFonts w:ascii="Times" w:eastAsia="Times New Roman" w:hAnsi="Times" w:cs="Times New Roman"/>
          <w:color w:val="000000" w:themeColor="text1"/>
        </w:rPr>
        <w:t xml:space="preserve"> with </w:t>
      </w:r>
      <w:r w:rsidR="00ED5E82" w:rsidRPr="00A52DB8">
        <w:rPr>
          <w:rFonts w:ascii="Times" w:eastAsia="Times New Roman" w:hAnsi="Times" w:cs="Times New Roman"/>
          <w:color w:val="000000" w:themeColor="text1"/>
        </w:rPr>
        <w:t>no pPCI</w:t>
      </w:r>
      <w:r w:rsidR="00B732A6" w:rsidRPr="00A52DB8">
        <w:rPr>
          <w:rFonts w:ascii="Times" w:eastAsia="Times New Roman" w:hAnsi="Times" w:cs="Times New Roman"/>
          <w:color w:val="000000" w:themeColor="text1"/>
        </w:rPr>
        <w:t xml:space="preserve"> (</w:t>
      </w:r>
      <w:r w:rsidR="00B732A6" w:rsidRPr="00A52DB8">
        <w:rPr>
          <w:rFonts w:ascii="Times" w:hAnsi="Times" w:cs="Times New Roman"/>
          <w:color w:val="000000" w:themeColor="text1"/>
        </w:rPr>
        <w:t>12.3% vs 18.4</w:t>
      </w:r>
      <w:r w:rsidR="002F3CDE" w:rsidRPr="00A52DB8">
        <w:rPr>
          <w:rFonts w:ascii="Times" w:hAnsi="Times" w:cs="Times New Roman"/>
          <w:color w:val="000000" w:themeColor="text1"/>
        </w:rPr>
        <w:t>%</w:t>
      </w:r>
      <w:r w:rsidR="002F3CDE" w:rsidRPr="00A52DB8">
        <w:rPr>
          <w:rFonts w:ascii="Times" w:eastAsia="Times New Roman" w:hAnsi="Times" w:cs="Times New Roman"/>
          <w:color w:val="000000" w:themeColor="text1"/>
        </w:rPr>
        <w:t>; p&lt;0.01</w:t>
      </w:r>
      <w:r w:rsidR="00B732A6" w:rsidRPr="00A52DB8">
        <w:rPr>
          <w:rFonts w:ascii="Times" w:eastAsia="Times New Roman" w:hAnsi="Times" w:cs="Times New Roman"/>
          <w:color w:val="000000" w:themeColor="text1"/>
        </w:rPr>
        <w:t>).</w:t>
      </w:r>
    </w:p>
    <w:p w14:paraId="1C4C47F0" w14:textId="77777777" w:rsidR="00B732A6" w:rsidRPr="00A52DB8" w:rsidRDefault="00B732A6" w:rsidP="00A52DB8">
      <w:pPr>
        <w:spacing w:before="180" w:after="180"/>
        <w:outlineLvl w:val="2"/>
        <w:rPr>
          <w:rFonts w:ascii="Times" w:eastAsia="Times New Roman" w:hAnsi="Times" w:cs="Times New Roman"/>
          <w:b/>
          <w:bCs/>
          <w:color w:val="000000" w:themeColor="text1"/>
        </w:rPr>
      </w:pPr>
      <w:r w:rsidRPr="00A52DB8">
        <w:rPr>
          <w:rFonts w:ascii="Times" w:eastAsia="Times New Roman" w:hAnsi="Times" w:cs="Times New Roman"/>
          <w:b/>
          <w:bCs/>
          <w:color w:val="000000" w:themeColor="text1"/>
        </w:rPr>
        <w:t>Conclusion</w:t>
      </w:r>
    </w:p>
    <w:p w14:paraId="35709429" w14:textId="7B043831" w:rsidR="00B732A6" w:rsidRPr="00A52DB8" w:rsidRDefault="00B732A6" w:rsidP="00A52DB8">
      <w:pPr>
        <w:spacing w:before="75" w:after="240"/>
        <w:rPr>
          <w:rFonts w:ascii="Times" w:eastAsia="Times New Roman" w:hAnsi="Times" w:cs="Times New Roman"/>
          <w:color w:val="000000" w:themeColor="text1"/>
        </w:rPr>
      </w:pPr>
      <w:r w:rsidRPr="00A52DB8">
        <w:rPr>
          <w:rFonts w:ascii="Times" w:eastAsia="Times New Roman" w:hAnsi="Times" w:cs="Times New Roman"/>
          <w:color w:val="000000" w:themeColor="text1"/>
        </w:rPr>
        <w:t>In nonagenarian</w:t>
      </w:r>
      <w:r w:rsidR="00E97E7C" w:rsidRPr="00A52DB8">
        <w:rPr>
          <w:rFonts w:ascii="Times" w:eastAsia="Times New Roman" w:hAnsi="Times" w:cs="Times New Roman"/>
          <w:color w:val="000000" w:themeColor="text1"/>
        </w:rPr>
        <w:t>s with</w:t>
      </w:r>
      <w:r w:rsidR="00AD7AED" w:rsidRPr="00A52DB8">
        <w:rPr>
          <w:rFonts w:ascii="Times" w:eastAsia="Times New Roman" w:hAnsi="Times" w:cs="Times New Roman"/>
          <w:color w:val="000000" w:themeColor="text1"/>
        </w:rPr>
        <w:t xml:space="preserve"> </w:t>
      </w:r>
      <w:r w:rsidR="00354407" w:rsidRPr="00A52DB8">
        <w:rPr>
          <w:rFonts w:ascii="Times" w:eastAsia="Times New Roman" w:hAnsi="Times" w:cs="Times New Roman"/>
          <w:color w:val="000000" w:themeColor="text1"/>
        </w:rPr>
        <w:t>STEMI</w:t>
      </w:r>
      <w:r w:rsidRPr="00A52DB8">
        <w:rPr>
          <w:rFonts w:ascii="Times" w:eastAsia="Times New Roman" w:hAnsi="Times" w:cs="Times New Roman"/>
          <w:color w:val="000000" w:themeColor="text1"/>
        </w:rPr>
        <w:t xml:space="preserve">, pPCI </w:t>
      </w:r>
      <w:r w:rsidR="00354407" w:rsidRPr="00A52DB8">
        <w:rPr>
          <w:rFonts w:ascii="Times" w:eastAsia="Times New Roman" w:hAnsi="Times" w:cs="Times New Roman"/>
          <w:color w:val="000000" w:themeColor="text1"/>
        </w:rPr>
        <w:t>during index hospitalization</w:t>
      </w:r>
      <w:r w:rsidR="00E97E7C" w:rsidRPr="00A52DB8">
        <w:rPr>
          <w:rFonts w:ascii="Times" w:eastAsia="Times New Roman" w:hAnsi="Times" w:cs="Times New Roman"/>
          <w:color w:val="000000" w:themeColor="text1"/>
        </w:rPr>
        <w:t xml:space="preserve"> is associated with slightly higher 30-</w:t>
      </w:r>
      <w:r w:rsidR="00362907" w:rsidRPr="00A52DB8">
        <w:rPr>
          <w:rFonts w:ascii="Times" w:eastAsia="Times New Roman" w:hAnsi="Times" w:cs="Times New Roman"/>
          <w:color w:val="000000" w:themeColor="text1"/>
        </w:rPr>
        <w:t xml:space="preserve">day </w:t>
      </w:r>
      <w:r w:rsidR="00E97E7C" w:rsidRPr="00A52DB8">
        <w:rPr>
          <w:rFonts w:ascii="Times" w:eastAsia="Times New Roman" w:hAnsi="Times" w:cs="Times New Roman"/>
          <w:color w:val="000000" w:themeColor="text1"/>
        </w:rPr>
        <w:t>readmissions but significantly lower mortality at the time of readmission. Given the remarkable mortality benefit with pPCI, further research is necessary to risk stratify and optimize readmission rates following STEMI</w:t>
      </w:r>
      <w:r w:rsidR="00826D82" w:rsidRPr="00A52DB8">
        <w:rPr>
          <w:rFonts w:ascii="Times" w:eastAsia="Times New Roman" w:hAnsi="Times" w:cs="Times New Roman"/>
          <w:color w:val="000000" w:themeColor="text1"/>
        </w:rPr>
        <w:t xml:space="preserve"> in nonagenarians</w:t>
      </w:r>
      <w:r w:rsidR="00E97E7C" w:rsidRPr="00A52DB8">
        <w:rPr>
          <w:rFonts w:ascii="Times" w:eastAsia="Times New Roman" w:hAnsi="Times" w:cs="Times New Roman"/>
          <w:color w:val="000000" w:themeColor="text1"/>
        </w:rPr>
        <w:t>.</w:t>
      </w:r>
    </w:p>
    <w:p w14:paraId="3C8F8572" w14:textId="41E68FE9" w:rsidR="008E2B6F" w:rsidRDefault="008E2B6F" w:rsidP="00D90ED9">
      <w:pPr>
        <w:spacing w:before="75" w:after="240"/>
        <w:rPr>
          <w:rFonts w:ascii="Times" w:eastAsia="Times New Roman" w:hAnsi="Times" w:cs="Times New Roman"/>
          <w:color w:val="000000" w:themeColor="text1"/>
        </w:rPr>
      </w:pPr>
    </w:p>
    <w:p w14:paraId="452BA5A7" w14:textId="51A220C3" w:rsidR="00103166" w:rsidRDefault="00103166" w:rsidP="00D90ED9">
      <w:pPr>
        <w:spacing w:before="75" w:after="240"/>
        <w:rPr>
          <w:rFonts w:ascii="Times" w:eastAsia="Times New Roman" w:hAnsi="Times" w:cs="Times New Roman"/>
          <w:color w:val="000000" w:themeColor="text1"/>
        </w:rPr>
      </w:pPr>
    </w:p>
    <w:p w14:paraId="53CFC51C" w14:textId="64C9AF11" w:rsidR="00103166" w:rsidRDefault="00103166" w:rsidP="00D90ED9">
      <w:pPr>
        <w:spacing w:before="75" w:after="240"/>
        <w:rPr>
          <w:rFonts w:ascii="Times" w:eastAsia="Times New Roman" w:hAnsi="Times" w:cs="Times New Roman"/>
          <w:color w:val="000000" w:themeColor="text1"/>
        </w:rPr>
      </w:pPr>
    </w:p>
    <w:p w14:paraId="284E0E99" w14:textId="5592BAE1" w:rsidR="00103166" w:rsidRDefault="00103166" w:rsidP="00D90ED9">
      <w:pPr>
        <w:spacing w:before="75" w:after="240"/>
        <w:rPr>
          <w:rFonts w:ascii="Times" w:eastAsia="Times New Roman" w:hAnsi="Times" w:cs="Times New Roman"/>
          <w:color w:val="000000" w:themeColor="text1"/>
        </w:rPr>
      </w:pPr>
    </w:p>
    <w:p w14:paraId="79182586" w14:textId="2E647314" w:rsidR="00103166" w:rsidRDefault="00103166" w:rsidP="00D90ED9">
      <w:pPr>
        <w:spacing w:before="75" w:after="240"/>
        <w:rPr>
          <w:rFonts w:ascii="Times" w:eastAsia="Times New Roman" w:hAnsi="Times" w:cs="Times New Roman"/>
          <w:color w:val="000000" w:themeColor="text1"/>
        </w:rPr>
      </w:pPr>
    </w:p>
    <w:p w14:paraId="5E9F813C" w14:textId="282DB2C4" w:rsidR="00103166" w:rsidRDefault="00103166" w:rsidP="00D90ED9">
      <w:pPr>
        <w:spacing w:before="75" w:after="240"/>
        <w:rPr>
          <w:rFonts w:ascii="Times" w:eastAsia="Times New Roman" w:hAnsi="Times" w:cs="Times New Roman"/>
          <w:color w:val="000000" w:themeColor="text1"/>
        </w:rPr>
      </w:pPr>
    </w:p>
    <w:p w14:paraId="639754EE" w14:textId="5AB16753" w:rsidR="00756FD7" w:rsidRPr="00103166" w:rsidRDefault="00103166" w:rsidP="00103166">
      <w:pPr>
        <w:spacing w:before="75" w:after="240"/>
        <w:rPr>
          <w:rFonts w:ascii="Times" w:eastAsia="Times New Roman" w:hAnsi="Times" w:cs="Times New Roman"/>
          <w:color w:val="000000" w:themeColor="text1"/>
        </w:rPr>
      </w:pPr>
      <w:r w:rsidRPr="00103166">
        <w:rPr>
          <w:rFonts w:ascii="Times" w:eastAsia="Times New Roman" w:hAnsi="Times" w:cs="Times New Roman"/>
          <w:noProof/>
          <w:color w:val="000000" w:themeColor="text1"/>
        </w:rPr>
        <w:lastRenderedPageBreak/>
        <w:drawing>
          <wp:anchor distT="0" distB="0" distL="114300" distR="114300" simplePos="0" relativeHeight="251658240" behindDoc="0" locked="0" layoutInCell="1" allowOverlap="1" wp14:anchorId="5438B6FF" wp14:editId="4AD41C3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01055" cy="8229600"/>
            <wp:effectExtent l="0" t="0" r="4445" b="0"/>
            <wp:wrapSquare wrapText="bothSides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6FD7" w:rsidRPr="001031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2D8"/>
    <w:rsid w:val="000420F2"/>
    <w:rsid w:val="0008250C"/>
    <w:rsid w:val="00090355"/>
    <w:rsid w:val="00103166"/>
    <w:rsid w:val="001465AF"/>
    <w:rsid w:val="0017199B"/>
    <w:rsid w:val="002150ED"/>
    <w:rsid w:val="002E6DCD"/>
    <w:rsid w:val="002F0EE9"/>
    <w:rsid w:val="002F3CDE"/>
    <w:rsid w:val="003109FC"/>
    <w:rsid w:val="00336D63"/>
    <w:rsid w:val="00354407"/>
    <w:rsid w:val="00362907"/>
    <w:rsid w:val="00387B05"/>
    <w:rsid w:val="00393216"/>
    <w:rsid w:val="003E16E7"/>
    <w:rsid w:val="00443343"/>
    <w:rsid w:val="00446399"/>
    <w:rsid w:val="00482E04"/>
    <w:rsid w:val="0049034F"/>
    <w:rsid w:val="004E12EB"/>
    <w:rsid w:val="005108AA"/>
    <w:rsid w:val="00520B51"/>
    <w:rsid w:val="005262D8"/>
    <w:rsid w:val="00532568"/>
    <w:rsid w:val="00535CB8"/>
    <w:rsid w:val="005B390A"/>
    <w:rsid w:val="00691176"/>
    <w:rsid w:val="006D21B8"/>
    <w:rsid w:val="0071075D"/>
    <w:rsid w:val="00756FD7"/>
    <w:rsid w:val="0077416E"/>
    <w:rsid w:val="00777572"/>
    <w:rsid w:val="007975A1"/>
    <w:rsid w:val="00811041"/>
    <w:rsid w:val="00823E58"/>
    <w:rsid w:val="00826D82"/>
    <w:rsid w:val="00831195"/>
    <w:rsid w:val="0086562B"/>
    <w:rsid w:val="008B75DE"/>
    <w:rsid w:val="008E2B6F"/>
    <w:rsid w:val="0094042F"/>
    <w:rsid w:val="00991874"/>
    <w:rsid w:val="009A052F"/>
    <w:rsid w:val="009E2B64"/>
    <w:rsid w:val="00A06697"/>
    <w:rsid w:val="00A52DB8"/>
    <w:rsid w:val="00A53DE8"/>
    <w:rsid w:val="00AA3000"/>
    <w:rsid w:val="00AB1A0A"/>
    <w:rsid w:val="00AC37F0"/>
    <w:rsid w:val="00AD7AED"/>
    <w:rsid w:val="00AF5B71"/>
    <w:rsid w:val="00B320A8"/>
    <w:rsid w:val="00B36496"/>
    <w:rsid w:val="00B732A6"/>
    <w:rsid w:val="00B81570"/>
    <w:rsid w:val="00BA17D4"/>
    <w:rsid w:val="00BF6969"/>
    <w:rsid w:val="00C34B76"/>
    <w:rsid w:val="00CF4F23"/>
    <w:rsid w:val="00D44C18"/>
    <w:rsid w:val="00D728F9"/>
    <w:rsid w:val="00D90ED9"/>
    <w:rsid w:val="00DC10D0"/>
    <w:rsid w:val="00E03806"/>
    <w:rsid w:val="00E159F5"/>
    <w:rsid w:val="00E97E7C"/>
    <w:rsid w:val="00ED5E82"/>
    <w:rsid w:val="00F6756B"/>
    <w:rsid w:val="00FC3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A2CBFA"/>
  <w15:chartTrackingRefBased/>
  <w15:docId w15:val="{3E958644-096E-FD4C-A6DF-383C7D490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8656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56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56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56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562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756FD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756FD7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756FD7"/>
  </w:style>
  <w:style w:type="character" w:customStyle="1" w:styleId="referencesnote">
    <w:name w:val="references__note"/>
    <w:basedOn w:val="DefaultParagraphFont"/>
    <w:rsid w:val="00756FD7"/>
  </w:style>
  <w:style w:type="character" w:customStyle="1" w:styleId="referencesarticle-title">
    <w:name w:val="references__article-title"/>
    <w:basedOn w:val="DefaultParagraphFont"/>
    <w:rsid w:val="00756F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2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Mahmoud Ismayl</dc:creator>
  <cp:keywords/>
  <dc:description/>
  <cp:lastModifiedBy>INTERNAL NOTICE</cp:lastModifiedBy>
  <cp:revision>66</cp:revision>
  <dcterms:created xsi:type="dcterms:W3CDTF">2021-05-15T22:42:00Z</dcterms:created>
  <dcterms:modified xsi:type="dcterms:W3CDTF">2021-09-05T20:14:00Z</dcterms:modified>
</cp:coreProperties>
</file>