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B570" w14:textId="7A4A19A9" w:rsidR="00C778CC" w:rsidRPr="00C778CC" w:rsidRDefault="00C778CC" w:rsidP="006E7285">
      <w:pPr>
        <w:spacing w:line="480" w:lineRule="auto"/>
        <w:rPr>
          <w:rFonts w:ascii="Calibri" w:hAnsi="Calibri" w:cs="Calibri"/>
          <w:b/>
        </w:rPr>
      </w:pPr>
      <w:r w:rsidRPr="00C778CC">
        <w:rPr>
          <w:rFonts w:ascii="Calibri" w:hAnsi="Calibri" w:cs="Calibri"/>
          <w:b/>
        </w:rPr>
        <w:t>Pericardial Effusion After Left Atrial Appendage Occlusion Resulting from an Aortic Dissection</w:t>
      </w:r>
    </w:p>
    <w:p w14:paraId="3FDC8009" w14:textId="77777777" w:rsidR="00C778CC" w:rsidRPr="00C778CC" w:rsidRDefault="00C778CC" w:rsidP="006E7285">
      <w:pPr>
        <w:spacing w:line="480" w:lineRule="auto"/>
        <w:rPr>
          <w:rFonts w:ascii="Calibri" w:hAnsi="Calibri" w:cs="Calibri"/>
        </w:rPr>
      </w:pPr>
    </w:p>
    <w:p w14:paraId="6DF83E8E" w14:textId="0014FA8C" w:rsidR="00153EC8" w:rsidRPr="00C778CC" w:rsidRDefault="00C778CC" w:rsidP="006E7285">
      <w:pPr>
        <w:spacing w:line="480" w:lineRule="auto"/>
        <w:rPr>
          <w:rFonts w:ascii="Calibri" w:hAnsi="Calibri" w:cs="Calibri"/>
        </w:rPr>
      </w:pPr>
      <w:r w:rsidRPr="00C778CC">
        <w:rPr>
          <w:rFonts w:ascii="Calibri" w:hAnsi="Calibri" w:cs="Calibri"/>
        </w:rPr>
        <w:t>Background:</w:t>
      </w:r>
    </w:p>
    <w:p w14:paraId="62EE9015" w14:textId="2A22254F" w:rsidR="00C778CC" w:rsidRPr="00C778CC" w:rsidRDefault="00C778CC" w:rsidP="006E7285">
      <w:pPr>
        <w:spacing w:line="480" w:lineRule="auto"/>
        <w:ind w:firstLine="720"/>
        <w:rPr>
          <w:rFonts w:ascii="Calibri" w:hAnsi="Calibri" w:cs="Calibri"/>
        </w:rPr>
      </w:pPr>
      <w:r w:rsidRPr="00C778CC">
        <w:rPr>
          <w:rFonts w:ascii="Calibri" w:hAnsi="Calibri" w:cs="Calibri"/>
          <w:color w:val="000000"/>
        </w:rPr>
        <w:t xml:space="preserve">Atrial fibrillation (AF) affects 2.3 million Americans.  In those unfit for long-term anticoagulation, </w:t>
      </w:r>
      <w:r w:rsidRPr="00C778CC">
        <w:rPr>
          <w:rFonts w:ascii="Calibri" w:hAnsi="Calibri" w:cs="Calibri"/>
        </w:rPr>
        <w:t xml:space="preserve">left atrial appendage occlusion (LAAO) is an alternative for stroke prophylaxis.  </w:t>
      </w:r>
    </w:p>
    <w:p w14:paraId="04DF2457" w14:textId="7F81C696" w:rsidR="00C778CC" w:rsidRPr="00C778CC" w:rsidRDefault="00C778CC" w:rsidP="006E7285">
      <w:pPr>
        <w:spacing w:line="480" w:lineRule="auto"/>
        <w:rPr>
          <w:rFonts w:ascii="Calibri" w:hAnsi="Calibri" w:cs="Calibri"/>
        </w:rPr>
      </w:pPr>
    </w:p>
    <w:p w14:paraId="30AC7668" w14:textId="7D6C05FE" w:rsidR="00C778CC" w:rsidRPr="00C778CC" w:rsidRDefault="00C778CC" w:rsidP="006E7285">
      <w:pPr>
        <w:spacing w:line="480" w:lineRule="auto"/>
        <w:rPr>
          <w:rFonts w:ascii="Calibri" w:hAnsi="Calibri" w:cs="Calibri"/>
        </w:rPr>
      </w:pPr>
      <w:r w:rsidRPr="00C778CC">
        <w:rPr>
          <w:rFonts w:ascii="Calibri" w:hAnsi="Calibri" w:cs="Calibri"/>
        </w:rPr>
        <w:t>Methods:</w:t>
      </w:r>
    </w:p>
    <w:p w14:paraId="059E164C" w14:textId="7410E62F" w:rsidR="00C778CC" w:rsidRPr="00C778CC" w:rsidRDefault="00C778CC" w:rsidP="006E7285">
      <w:pPr>
        <w:spacing w:line="480" w:lineRule="auto"/>
        <w:ind w:firstLine="720"/>
        <w:rPr>
          <w:rFonts w:ascii="Calibri" w:hAnsi="Calibri" w:cs="Calibri"/>
        </w:rPr>
      </w:pPr>
      <w:r w:rsidRPr="00C778CC">
        <w:rPr>
          <w:rFonts w:ascii="Calibri" w:hAnsi="Calibri" w:cs="Calibri"/>
        </w:rPr>
        <w:t xml:space="preserve">A 68-year-old female with a history of AF, 4.3 cm ascending aortic aneurysm, hemoptysis on anticoagulation, and an aspirin allergy successfully underwent LAAO with a 27 mm Watchman device.  Postoperatively, she developed a moderate pericardial effusion without tamponade physiology.  The effusion and her 3.5 cm aortic root (Fig. 1A) remained stable after anticoagulation reversal and 48-hour observation.  Warfarin and clopidogrel were restarted at discharge.  </w:t>
      </w:r>
    </w:p>
    <w:p w14:paraId="3D5F674C" w14:textId="100AB497" w:rsidR="00C778CC" w:rsidRPr="00C778CC" w:rsidRDefault="00C778CC" w:rsidP="006E7285">
      <w:pPr>
        <w:spacing w:line="480" w:lineRule="auto"/>
        <w:rPr>
          <w:rFonts w:ascii="Calibri" w:hAnsi="Calibri" w:cs="Calibri"/>
        </w:rPr>
      </w:pPr>
    </w:p>
    <w:p w14:paraId="05BEC081" w14:textId="0CDD3E18" w:rsidR="00C778CC" w:rsidRPr="00C778CC" w:rsidRDefault="00C778CC" w:rsidP="006E7285">
      <w:pPr>
        <w:spacing w:line="480" w:lineRule="auto"/>
        <w:rPr>
          <w:rFonts w:ascii="Calibri" w:hAnsi="Calibri" w:cs="Calibri"/>
        </w:rPr>
      </w:pPr>
      <w:r w:rsidRPr="00C778CC">
        <w:rPr>
          <w:rFonts w:ascii="Calibri" w:hAnsi="Calibri" w:cs="Calibri"/>
        </w:rPr>
        <w:t>Results:</w:t>
      </w:r>
    </w:p>
    <w:p w14:paraId="0E4AB3C3" w14:textId="4EA1D1EA" w:rsidR="00C778CC" w:rsidRPr="00C778CC" w:rsidRDefault="00C778CC" w:rsidP="006E7285">
      <w:pPr>
        <w:spacing w:line="480" w:lineRule="auto"/>
        <w:ind w:firstLine="720"/>
        <w:rPr>
          <w:rFonts w:ascii="Calibri" w:hAnsi="Calibri" w:cs="Calibri"/>
        </w:rPr>
      </w:pPr>
      <w:r w:rsidRPr="00C778CC">
        <w:rPr>
          <w:rFonts w:ascii="Calibri" w:hAnsi="Calibri" w:cs="Calibri"/>
        </w:rPr>
        <w:t xml:space="preserve">The patient was readmitted 48 hours later with back pain.  She was diagnosed with a Stanford type A dissection from the aortic root to the renal arteries, with extension into the pericardial space without evidence of tamponade (Fig. 1B, C).  Unlike previously reported post-LAAO effusions, this effusion was not caused by the LAAO device.  </w:t>
      </w:r>
      <w:r w:rsidR="00381FF2">
        <w:rPr>
          <w:rFonts w:ascii="Calibri" w:hAnsi="Calibri" w:cs="Calibri"/>
        </w:rPr>
        <w:t>With the computed tomography images and dilated aortic root, i</w:t>
      </w:r>
      <w:r w:rsidRPr="00C778CC">
        <w:rPr>
          <w:rFonts w:ascii="Calibri" w:hAnsi="Calibri" w:cs="Calibri"/>
        </w:rPr>
        <w:t xml:space="preserve">t is most likely that the anticoagulation and possible injury during catheter manipulation potentiated the propagation of a pre-existing </w:t>
      </w:r>
      <w:r w:rsidRPr="00C778CC">
        <w:rPr>
          <w:rFonts w:ascii="Calibri" w:hAnsi="Calibri" w:cs="Calibri"/>
        </w:rPr>
        <w:lastRenderedPageBreak/>
        <w:t xml:space="preserve">aortic dissection. Cardiothoracic surgery was emergently consulted, but she suffered a cardiac arrest and expired prior to intervention.  </w:t>
      </w:r>
    </w:p>
    <w:p w14:paraId="445939FE" w14:textId="2E128CFB" w:rsidR="00C778CC" w:rsidRPr="00C778CC" w:rsidRDefault="00C778CC" w:rsidP="006E7285">
      <w:pPr>
        <w:spacing w:line="480" w:lineRule="auto"/>
        <w:rPr>
          <w:rFonts w:ascii="Calibri" w:hAnsi="Calibri" w:cs="Calibri"/>
        </w:rPr>
      </w:pPr>
    </w:p>
    <w:p w14:paraId="18B74C82" w14:textId="020412BB" w:rsidR="00C778CC" w:rsidRPr="00C778CC" w:rsidRDefault="00C778CC" w:rsidP="006E7285">
      <w:pPr>
        <w:spacing w:line="480" w:lineRule="auto"/>
        <w:rPr>
          <w:rFonts w:ascii="Calibri" w:hAnsi="Calibri" w:cs="Calibri"/>
        </w:rPr>
      </w:pPr>
      <w:r w:rsidRPr="00C778CC">
        <w:rPr>
          <w:rFonts w:ascii="Calibri" w:hAnsi="Calibri" w:cs="Calibri"/>
        </w:rPr>
        <w:t>Conclusions:</w:t>
      </w:r>
    </w:p>
    <w:p w14:paraId="1DD0201C" w14:textId="7C7CB441" w:rsidR="00C778CC" w:rsidRPr="00C778CC" w:rsidRDefault="00C778CC" w:rsidP="006E7285">
      <w:pPr>
        <w:spacing w:line="480" w:lineRule="auto"/>
        <w:ind w:firstLine="720"/>
        <w:rPr>
          <w:rFonts w:ascii="Calibri" w:hAnsi="Calibri" w:cs="Calibri"/>
        </w:rPr>
      </w:pPr>
      <w:r w:rsidRPr="00C778CC">
        <w:rPr>
          <w:rFonts w:ascii="Calibri" w:hAnsi="Calibri" w:cs="Calibri"/>
        </w:rPr>
        <w:t xml:space="preserve">When evaluating a pericardial effusion after LAAO, the differential should extend past a procedural complication to include other life-threatening conditions, like </w:t>
      </w:r>
      <w:r w:rsidR="0036538E">
        <w:rPr>
          <w:rFonts w:ascii="Calibri" w:hAnsi="Calibri" w:cs="Calibri"/>
        </w:rPr>
        <w:t>the</w:t>
      </w:r>
      <w:r w:rsidRPr="00C778CC">
        <w:rPr>
          <w:rFonts w:ascii="Calibri" w:hAnsi="Calibri" w:cs="Calibri"/>
        </w:rPr>
        <w:t xml:space="preserve"> aortic dissection uniquely presented in this case.  Peri-procedural echocardiogram</w:t>
      </w:r>
      <w:r w:rsidR="00381FF2">
        <w:rPr>
          <w:rFonts w:ascii="Calibri" w:hAnsi="Calibri" w:cs="Calibri"/>
        </w:rPr>
        <w:t>s</w:t>
      </w:r>
      <w:r w:rsidRPr="00C778CC">
        <w:rPr>
          <w:rFonts w:ascii="Calibri" w:hAnsi="Calibri" w:cs="Calibri"/>
        </w:rPr>
        <w:t xml:space="preserve"> should include an appraisal of the aortic root and ascending aorta.</w:t>
      </w:r>
    </w:p>
    <w:p w14:paraId="714F4907" w14:textId="09B17B1F" w:rsidR="00C778CC" w:rsidRPr="00C778CC" w:rsidRDefault="00C778CC" w:rsidP="006E7285">
      <w:pPr>
        <w:spacing w:line="480" w:lineRule="auto"/>
        <w:rPr>
          <w:rFonts w:ascii="Calibri" w:hAnsi="Calibri" w:cs="Calibri"/>
        </w:rPr>
      </w:pPr>
    </w:p>
    <w:p w14:paraId="2F59ABAE" w14:textId="77777777" w:rsidR="00C778CC" w:rsidRPr="00C778CC" w:rsidRDefault="00C778CC" w:rsidP="006E7285">
      <w:pPr>
        <w:spacing w:line="480" w:lineRule="auto"/>
        <w:rPr>
          <w:rFonts w:ascii="Calibri" w:hAnsi="Calibri" w:cs="Calibri"/>
          <w:color w:val="000000"/>
        </w:rPr>
      </w:pPr>
    </w:p>
    <w:p w14:paraId="4DEA316F" w14:textId="2291DC56" w:rsidR="00C778CC" w:rsidRPr="00C778CC" w:rsidRDefault="006E7285" w:rsidP="006E7285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50BE85DD" wp14:editId="2832B1B6">
            <wp:extent cx="5943600" cy="478917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8CC" w:rsidRPr="00C778CC" w:rsidSect="009D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914"/>
    <w:multiLevelType w:val="hybridMultilevel"/>
    <w:tmpl w:val="8A2C6582"/>
    <w:lvl w:ilvl="0" w:tplc="84AA0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0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B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4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0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47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CC"/>
    <w:rsid w:val="0012568C"/>
    <w:rsid w:val="001E5F70"/>
    <w:rsid w:val="00321708"/>
    <w:rsid w:val="0036538E"/>
    <w:rsid w:val="00381FF2"/>
    <w:rsid w:val="003A061A"/>
    <w:rsid w:val="006E7285"/>
    <w:rsid w:val="008115AF"/>
    <w:rsid w:val="009A71B5"/>
    <w:rsid w:val="009D3DBA"/>
    <w:rsid w:val="00C778CC"/>
    <w:rsid w:val="00D260EC"/>
    <w:rsid w:val="00DD0194"/>
    <w:rsid w:val="00F1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035E4"/>
  <w15:chartTrackingRefBased/>
  <w15:docId w15:val="{895E44F3-9D1F-2B4D-9D21-1312FACD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CC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Kara M</dc:creator>
  <cp:keywords/>
  <dc:description/>
  <cp:lastModifiedBy>Stout, Kara M</cp:lastModifiedBy>
  <cp:revision>2</cp:revision>
  <dcterms:created xsi:type="dcterms:W3CDTF">2021-09-15T23:56:00Z</dcterms:created>
  <dcterms:modified xsi:type="dcterms:W3CDTF">2021-09-15T23:56:00Z</dcterms:modified>
</cp:coreProperties>
</file>