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B131" w14:textId="6A2AAD56" w:rsidR="00256B0C" w:rsidRPr="00256B0C" w:rsidRDefault="00256B0C" w:rsidP="002207DA">
      <w:pPr>
        <w:spacing w:line="360" w:lineRule="auto"/>
        <w:rPr>
          <w:rFonts w:ascii="Calibri" w:hAnsi="Calibri" w:cs="Calibri"/>
          <w:sz w:val="24"/>
          <w:szCs w:val="24"/>
        </w:rPr>
      </w:pPr>
      <w:r w:rsidRPr="003648EC">
        <w:rPr>
          <w:rFonts w:ascii="Calibri" w:hAnsi="Calibri" w:cs="Calibri"/>
          <w:b/>
          <w:sz w:val="24"/>
          <w:szCs w:val="24"/>
        </w:rPr>
        <w:t>Th1 Immunologic Response in Coronary Microvascular Dysfunction</w:t>
      </w:r>
    </w:p>
    <w:p w14:paraId="3794DB13" w14:textId="29524BC5" w:rsidR="00256B0C" w:rsidRPr="00256B0C" w:rsidRDefault="00256B0C" w:rsidP="002207DA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256B0C">
        <w:rPr>
          <w:rFonts w:ascii="Calibri" w:hAnsi="Calibri" w:cs="Calibri"/>
          <w:bCs/>
          <w:sz w:val="20"/>
          <w:szCs w:val="20"/>
        </w:rPr>
        <w:t xml:space="preserve">Robbie Garvin MD, </w:t>
      </w:r>
      <w:r w:rsidRPr="00256B0C">
        <w:rPr>
          <w:rFonts w:ascii="Calibri" w:hAnsi="Calibri" w:cs="Calibri"/>
          <w:bCs/>
          <w:sz w:val="20"/>
          <w:szCs w:val="20"/>
        </w:rPr>
        <w:t>Michael J Duryee MS, Carlos Hunter BS, Geoffrey M Thiele PhD, David Barton MD</w:t>
      </w:r>
      <w:r w:rsidRPr="00256B0C">
        <w:rPr>
          <w:rFonts w:ascii="Calibri" w:hAnsi="Calibri" w:cs="Calibri"/>
          <w:bCs/>
          <w:sz w:val="20"/>
          <w:szCs w:val="20"/>
        </w:rPr>
        <w:t xml:space="preserve">, </w:t>
      </w:r>
      <w:r w:rsidRPr="00256B0C">
        <w:rPr>
          <w:rFonts w:ascii="Calibri" w:hAnsi="Calibri" w:cs="Calibri"/>
          <w:bCs/>
          <w:sz w:val="20"/>
          <w:szCs w:val="20"/>
        </w:rPr>
        <w:t xml:space="preserve">Daniel R Anderson MD PhD </w:t>
      </w:r>
    </w:p>
    <w:p w14:paraId="67C8CE61" w14:textId="00542826" w:rsidR="002207DA" w:rsidRPr="003648EC" w:rsidRDefault="002207DA" w:rsidP="002207DA">
      <w:pPr>
        <w:spacing w:line="360" w:lineRule="auto"/>
        <w:rPr>
          <w:rFonts w:ascii="Calibri" w:hAnsi="Calibri" w:cs="Calibri"/>
          <w:i/>
          <w:iCs/>
          <w:sz w:val="24"/>
          <w:szCs w:val="24"/>
        </w:rPr>
      </w:pPr>
      <w:r w:rsidRPr="003648EC">
        <w:rPr>
          <w:rFonts w:ascii="Calibri" w:hAnsi="Calibri" w:cs="Calibri"/>
          <w:i/>
          <w:iCs/>
          <w:sz w:val="24"/>
          <w:szCs w:val="24"/>
        </w:rPr>
        <w:t>Background</w:t>
      </w:r>
    </w:p>
    <w:p w14:paraId="1DA24B36" w14:textId="408ADA79" w:rsidR="002207DA" w:rsidRPr="003648EC" w:rsidRDefault="002207DA" w:rsidP="002207DA">
      <w:pPr>
        <w:spacing w:line="360" w:lineRule="auto"/>
        <w:rPr>
          <w:rFonts w:ascii="Calibri" w:hAnsi="Calibri" w:cs="Calibri"/>
          <w:sz w:val="24"/>
          <w:szCs w:val="24"/>
        </w:rPr>
      </w:pPr>
      <w:r w:rsidRPr="003648EC">
        <w:rPr>
          <w:rFonts w:ascii="Calibri" w:hAnsi="Calibri" w:cs="Calibri"/>
          <w:sz w:val="24"/>
          <w:szCs w:val="24"/>
        </w:rPr>
        <w:tab/>
        <w:t xml:space="preserve">Coronary microvascular dysfunction </w:t>
      </w:r>
      <w:r w:rsidR="00D43850">
        <w:rPr>
          <w:rFonts w:ascii="Calibri" w:hAnsi="Calibri" w:cs="Calibri"/>
          <w:sz w:val="24"/>
          <w:szCs w:val="24"/>
        </w:rPr>
        <w:t>has been increasingly recognized as the cause for</w:t>
      </w:r>
      <w:r w:rsidRPr="003648EC">
        <w:rPr>
          <w:rFonts w:ascii="Calibri" w:hAnsi="Calibri" w:cs="Calibri"/>
          <w:sz w:val="24"/>
          <w:szCs w:val="24"/>
        </w:rPr>
        <w:t xml:space="preserve"> clinical angina </w:t>
      </w:r>
      <w:r>
        <w:rPr>
          <w:rFonts w:ascii="Calibri" w:hAnsi="Calibri" w:cs="Calibri"/>
          <w:sz w:val="24"/>
          <w:szCs w:val="24"/>
        </w:rPr>
        <w:t>in the absence of</w:t>
      </w:r>
      <w:r w:rsidRPr="003648EC">
        <w:rPr>
          <w:rFonts w:ascii="Calibri" w:hAnsi="Calibri" w:cs="Calibri"/>
          <w:sz w:val="24"/>
          <w:szCs w:val="24"/>
        </w:rPr>
        <w:t xml:space="preserve"> angiographic evidence of epicardial coronary artery obstruction. Oxidative stress is </w:t>
      </w:r>
      <w:r w:rsidR="00D43850">
        <w:rPr>
          <w:rFonts w:ascii="Calibri" w:hAnsi="Calibri" w:cs="Calibri"/>
          <w:sz w:val="24"/>
          <w:szCs w:val="24"/>
        </w:rPr>
        <w:t>thought to</w:t>
      </w:r>
      <w:r w:rsidRPr="003648EC">
        <w:rPr>
          <w:rFonts w:ascii="Calibri" w:hAnsi="Calibri" w:cs="Calibri"/>
          <w:sz w:val="24"/>
          <w:szCs w:val="24"/>
        </w:rPr>
        <w:t xml:space="preserve"> play a role in microvascular dysfunction</w:t>
      </w:r>
      <w:r>
        <w:rPr>
          <w:rFonts w:ascii="Calibri" w:hAnsi="Calibri" w:cs="Calibri"/>
          <w:sz w:val="24"/>
          <w:szCs w:val="24"/>
        </w:rPr>
        <w:t xml:space="preserve"> </w:t>
      </w:r>
      <w:r w:rsidR="00D43850">
        <w:rPr>
          <w:rFonts w:ascii="Calibri" w:hAnsi="Calibri" w:cs="Calibri"/>
          <w:sz w:val="24"/>
          <w:szCs w:val="24"/>
        </w:rPr>
        <w:t>via</w:t>
      </w:r>
      <w:r w:rsidRPr="003648EC">
        <w:rPr>
          <w:rFonts w:ascii="Calibri" w:hAnsi="Calibri" w:cs="Calibri"/>
          <w:sz w:val="24"/>
          <w:szCs w:val="24"/>
        </w:rPr>
        <w:t xml:space="preserve"> inflammation</w:t>
      </w:r>
      <w:r w:rsidR="00D43850">
        <w:rPr>
          <w:rFonts w:ascii="Calibri" w:hAnsi="Calibri" w:cs="Calibri"/>
          <w:sz w:val="24"/>
          <w:szCs w:val="24"/>
        </w:rPr>
        <w:t xml:space="preserve">. </w:t>
      </w:r>
      <w:r w:rsidR="00D43850">
        <w:rPr>
          <w:rFonts w:ascii="Calibri" w:hAnsi="Calibri" w:cs="Calibri"/>
          <w:sz w:val="24"/>
          <w:szCs w:val="24"/>
        </w:rPr>
        <w:t>The generation of malondialdehyde (MDA) and acetaldehyde (AA) occur</w:t>
      </w:r>
      <w:r w:rsidR="00D43850">
        <w:rPr>
          <w:rFonts w:ascii="Calibri" w:hAnsi="Calibri" w:cs="Calibri"/>
          <w:sz w:val="24"/>
          <w:szCs w:val="24"/>
        </w:rPr>
        <w:t>s</w:t>
      </w:r>
      <w:r w:rsidR="00D43850">
        <w:rPr>
          <w:rFonts w:ascii="Calibri" w:hAnsi="Calibri" w:cs="Calibri"/>
          <w:sz w:val="24"/>
          <w:szCs w:val="24"/>
        </w:rPr>
        <w:t xml:space="preserve"> as a result of </w:t>
      </w:r>
      <w:r w:rsidR="00D43850">
        <w:rPr>
          <w:rFonts w:ascii="Calibri" w:hAnsi="Calibri" w:cs="Calibri"/>
          <w:sz w:val="24"/>
          <w:szCs w:val="24"/>
        </w:rPr>
        <w:t>the lipid peroxidation</w:t>
      </w:r>
      <w:r w:rsidR="00D43850">
        <w:rPr>
          <w:rFonts w:ascii="Calibri" w:hAnsi="Calibri" w:cs="Calibri"/>
          <w:sz w:val="24"/>
          <w:szCs w:val="24"/>
        </w:rPr>
        <w:t xml:space="preserve"> process</w:t>
      </w:r>
      <w:r w:rsidR="00256B0C">
        <w:rPr>
          <w:rFonts w:ascii="Calibri" w:hAnsi="Calibri" w:cs="Calibri"/>
          <w:sz w:val="24"/>
          <w:szCs w:val="24"/>
        </w:rPr>
        <w:t xml:space="preserve"> and can combine to form a stable protein adduct </w:t>
      </w:r>
      <w:proofErr w:type="spellStart"/>
      <w:r w:rsidR="00256B0C">
        <w:rPr>
          <w:rFonts w:ascii="Calibri" w:hAnsi="Calibri" w:cs="Calibri"/>
          <w:sz w:val="24"/>
          <w:szCs w:val="24"/>
        </w:rPr>
        <w:t>malondialehyde</w:t>
      </w:r>
      <w:proofErr w:type="spellEnd"/>
      <w:r w:rsidR="00256B0C">
        <w:rPr>
          <w:rFonts w:ascii="Calibri" w:hAnsi="Calibri" w:cs="Calibri"/>
          <w:sz w:val="24"/>
          <w:szCs w:val="24"/>
        </w:rPr>
        <w:t>-acetaldehyde (MAA)</w:t>
      </w:r>
      <w:r w:rsidR="00D43850">
        <w:rPr>
          <w:rFonts w:ascii="Calibri" w:hAnsi="Calibri" w:cs="Calibri"/>
          <w:sz w:val="24"/>
          <w:szCs w:val="24"/>
        </w:rPr>
        <w:t xml:space="preserve">. </w:t>
      </w:r>
      <w:r w:rsidR="00D43850">
        <w:rPr>
          <w:rFonts w:ascii="Calibri" w:hAnsi="Calibri" w:cs="Calibri"/>
          <w:sz w:val="24"/>
          <w:szCs w:val="24"/>
        </w:rPr>
        <w:t xml:space="preserve">Previously </w:t>
      </w:r>
      <w:r w:rsidR="00D43850">
        <w:rPr>
          <w:rFonts w:ascii="Calibri" w:hAnsi="Calibri" w:cs="Calibri"/>
          <w:sz w:val="24"/>
          <w:szCs w:val="24"/>
        </w:rPr>
        <w:t xml:space="preserve">anti-MAA antibody isotypes </w:t>
      </w:r>
      <w:r w:rsidR="00D43850">
        <w:rPr>
          <w:rFonts w:ascii="Calibri" w:hAnsi="Calibri" w:cs="Calibri"/>
          <w:sz w:val="24"/>
          <w:szCs w:val="24"/>
        </w:rPr>
        <w:t>have been</w:t>
      </w:r>
      <w:r w:rsidR="00D43850">
        <w:rPr>
          <w:rFonts w:ascii="Calibri" w:hAnsi="Calibri" w:cs="Calibri"/>
          <w:sz w:val="24"/>
          <w:szCs w:val="24"/>
        </w:rPr>
        <w:t xml:space="preserve"> associated with the progression and natural history of atherosclerotic disease</w:t>
      </w:r>
      <w:r w:rsidR="00256B0C">
        <w:rPr>
          <w:rFonts w:ascii="Calibri" w:hAnsi="Calibri" w:cs="Calibri"/>
          <w:sz w:val="24"/>
          <w:szCs w:val="24"/>
        </w:rPr>
        <w:t>.</w:t>
      </w:r>
      <w:r w:rsidR="00D43850" w:rsidRPr="003648EC">
        <w:rPr>
          <w:rFonts w:ascii="Calibri" w:hAnsi="Calibri" w:cs="Calibri"/>
          <w:sz w:val="24"/>
          <w:szCs w:val="24"/>
        </w:rPr>
        <w:t xml:space="preserve"> </w:t>
      </w:r>
      <w:r w:rsidRPr="003648EC">
        <w:rPr>
          <w:rFonts w:ascii="Calibri" w:hAnsi="Calibri" w:cs="Calibri"/>
          <w:sz w:val="24"/>
          <w:szCs w:val="24"/>
        </w:rPr>
        <w:t xml:space="preserve">The aim of this study was to identify the immune response to </w:t>
      </w:r>
      <w:r>
        <w:rPr>
          <w:rFonts w:ascii="Calibri" w:hAnsi="Calibri" w:cs="Calibri"/>
          <w:sz w:val="24"/>
          <w:szCs w:val="24"/>
        </w:rPr>
        <w:t xml:space="preserve">oxidative stress mediated biomarkers involved in </w:t>
      </w:r>
      <w:r w:rsidRPr="003648EC">
        <w:rPr>
          <w:rFonts w:ascii="Calibri" w:hAnsi="Calibri" w:cs="Calibri"/>
          <w:sz w:val="24"/>
          <w:szCs w:val="24"/>
        </w:rPr>
        <w:t>coronary microvascular dysfunction.</w:t>
      </w:r>
    </w:p>
    <w:p w14:paraId="762C26A3" w14:textId="77777777" w:rsidR="002207DA" w:rsidRPr="003648EC" w:rsidRDefault="002207DA" w:rsidP="002207DA">
      <w:pPr>
        <w:spacing w:line="360" w:lineRule="auto"/>
        <w:rPr>
          <w:rFonts w:ascii="Calibri" w:hAnsi="Calibri" w:cs="Calibri"/>
          <w:i/>
          <w:iCs/>
          <w:sz w:val="24"/>
          <w:szCs w:val="24"/>
        </w:rPr>
      </w:pPr>
      <w:r w:rsidRPr="003648EC">
        <w:rPr>
          <w:rFonts w:ascii="Calibri" w:hAnsi="Calibri" w:cs="Calibri"/>
          <w:i/>
          <w:iCs/>
          <w:sz w:val="24"/>
          <w:szCs w:val="24"/>
        </w:rPr>
        <w:t>Methods</w:t>
      </w:r>
    </w:p>
    <w:p w14:paraId="16D33B1F" w14:textId="625B2FEF" w:rsidR="002207DA" w:rsidRPr="003648EC" w:rsidRDefault="002207DA" w:rsidP="002207DA">
      <w:pPr>
        <w:spacing w:line="360" w:lineRule="auto"/>
        <w:rPr>
          <w:rFonts w:ascii="Calibri" w:hAnsi="Calibri" w:cs="Calibri"/>
          <w:sz w:val="24"/>
          <w:szCs w:val="24"/>
        </w:rPr>
      </w:pPr>
      <w:r w:rsidRPr="003648EC">
        <w:rPr>
          <w:rFonts w:ascii="Calibri" w:hAnsi="Calibri" w:cs="Calibri"/>
          <w:sz w:val="24"/>
          <w:szCs w:val="24"/>
        </w:rPr>
        <w:tab/>
        <w:t xml:space="preserve">Patients undergoing </w:t>
      </w:r>
      <w:r>
        <w:rPr>
          <w:rFonts w:ascii="Calibri" w:hAnsi="Calibri" w:cs="Calibri"/>
          <w:sz w:val="24"/>
          <w:szCs w:val="24"/>
        </w:rPr>
        <w:t xml:space="preserve">cardiac </w:t>
      </w:r>
      <w:r w:rsidRPr="003648EC">
        <w:rPr>
          <w:rFonts w:ascii="Calibri" w:hAnsi="Calibri" w:cs="Calibri"/>
          <w:sz w:val="24"/>
          <w:szCs w:val="24"/>
        </w:rPr>
        <w:t xml:space="preserve">catheterization were evaluated and identified using the comprehensive diagnostic algorithm </w:t>
      </w:r>
      <w:r w:rsidR="00256B0C">
        <w:rPr>
          <w:rFonts w:ascii="Calibri" w:hAnsi="Calibri" w:cs="Calibri"/>
          <w:sz w:val="24"/>
          <w:szCs w:val="24"/>
        </w:rPr>
        <w:t>to</w:t>
      </w:r>
      <w:r w:rsidRPr="003648EC">
        <w:rPr>
          <w:rFonts w:ascii="Calibri" w:hAnsi="Calibri" w:cs="Calibri"/>
          <w:sz w:val="24"/>
          <w:szCs w:val="24"/>
        </w:rPr>
        <w:t xml:space="preserve"> identify the presence of coronary microvascular dysfunction. </w:t>
      </w:r>
      <w:r>
        <w:rPr>
          <w:rFonts w:ascii="Calibri" w:hAnsi="Calibri" w:cs="Calibri"/>
          <w:sz w:val="24"/>
          <w:szCs w:val="24"/>
        </w:rPr>
        <w:t>Subjects were consented through IRB into the Nebraska Cardiovascular Biobank (NCBR) for blood and clinical parameter collection for research. Inclusion and exclusion criteria were primarily focused on coronary flow measurements – Coronary flow reserve (CFR) and fractional flow reserve (FFR). Blood samples were taken at the time of catheterization and tested for the following biomarkers: anti</w:t>
      </w:r>
      <w:r w:rsidRPr="003648EC">
        <w:rPr>
          <w:rFonts w:ascii="Calibri" w:hAnsi="Calibri" w:cs="Calibri"/>
          <w:sz w:val="24"/>
          <w:szCs w:val="24"/>
        </w:rPr>
        <w:t xml:space="preserve">-MAA antibody isotype ELISA testing, </w:t>
      </w:r>
      <w:proofErr w:type="spellStart"/>
      <w:r w:rsidRPr="003648EC">
        <w:rPr>
          <w:rFonts w:ascii="Calibri" w:hAnsi="Calibri" w:cs="Calibri"/>
          <w:sz w:val="24"/>
          <w:szCs w:val="24"/>
        </w:rPr>
        <w:t>thiobarbituric</w:t>
      </w:r>
      <w:proofErr w:type="spellEnd"/>
      <w:r w:rsidRPr="003648EC">
        <w:rPr>
          <w:rFonts w:ascii="Calibri" w:hAnsi="Calibri" w:cs="Calibri"/>
          <w:sz w:val="24"/>
          <w:szCs w:val="24"/>
        </w:rPr>
        <w:t xml:space="preserve"> acid reactive substance (TBARS) assay, asymmetrical dimethylarginine (ADMA) assay, </w:t>
      </w:r>
      <w:proofErr w:type="spellStart"/>
      <w:r w:rsidRPr="003648EC">
        <w:rPr>
          <w:rFonts w:ascii="Calibri" w:hAnsi="Calibri" w:cs="Calibri"/>
          <w:sz w:val="24"/>
          <w:szCs w:val="24"/>
        </w:rPr>
        <w:t>ProBNP</w:t>
      </w:r>
      <w:proofErr w:type="spellEnd"/>
      <w:r w:rsidRPr="003648EC">
        <w:rPr>
          <w:rFonts w:ascii="Calibri" w:hAnsi="Calibri" w:cs="Calibri"/>
          <w:sz w:val="24"/>
          <w:szCs w:val="24"/>
        </w:rPr>
        <w:t xml:space="preserve"> assay, and multiplex immunoassay </w:t>
      </w:r>
      <w:r>
        <w:rPr>
          <w:rFonts w:ascii="Calibri" w:hAnsi="Calibri" w:cs="Calibri"/>
          <w:sz w:val="24"/>
          <w:szCs w:val="24"/>
        </w:rPr>
        <w:t xml:space="preserve">to identify a number of specific adaptive immunological profiles. </w:t>
      </w:r>
      <w:r w:rsidRPr="003648EC">
        <w:rPr>
          <w:rFonts w:ascii="Calibri" w:hAnsi="Calibri" w:cs="Calibri"/>
          <w:sz w:val="24"/>
          <w:szCs w:val="24"/>
        </w:rPr>
        <w:t xml:space="preserve"> </w:t>
      </w:r>
    </w:p>
    <w:p w14:paraId="408FCA23" w14:textId="77777777" w:rsidR="002207DA" w:rsidRDefault="002207DA" w:rsidP="002207DA">
      <w:pPr>
        <w:spacing w:line="360" w:lineRule="auto"/>
        <w:rPr>
          <w:rFonts w:ascii="Calibri" w:hAnsi="Calibri" w:cs="Calibri"/>
          <w:i/>
          <w:iCs/>
          <w:sz w:val="24"/>
          <w:szCs w:val="24"/>
        </w:rPr>
      </w:pPr>
      <w:r w:rsidRPr="003648EC">
        <w:rPr>
          <w:rFonts w:ascii="Calibri" w:hAnsi="Calibri" w:cs="Calibri"/>
          <w:i/>
          <w:iCs/>
          <w:sz w:val="24"/>
          <w:szCs w:val="24"/>
        </w:rPr>
        <w:t>Results</w:t>
      </w:r>
    </w:p>
    <w:p w14:paraId="674A6B31" w14:textId="44FB76C9" w:rsidR="002207DA" w:rsidRPr="003648EC" w:rsidRDefault="002207DA" w:rsidP="002207DA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Comparison of the microvascular disease population with normal coronary flow reserve samples </w:t>
      </w:r>
      <w:r w:rsidR="00256B0C">
        <w:rPr>
          <w:rFonts w:ascii="Calibri" w:hAnsi="Calibri" w:cs="Calibri"/>
          <w:sz w:val="24"/>
          <w:szCs w:val="24"/>
        </w:rPr>
        <w:t>showed</w:t>
      </w:r>
      <w:r>
        <w:rPr>
          <w:rFonts w:ascii="Calibri" w:hAnsi="Calibri" w:cs="Calibri"/>
          <w:sz w:val="24"/>
          <w:szCs w:val="24"/>
        </w:rPr>
        <w:t xml:space="preserve"> anti-MAA antibody isotype switching occurs, resulting in an elevated IgG </w:t>
      </w:r>
      <w:r>
        <w:rPr>
          <w:rFonts w:ascii="Calibri" w:hAnsi="Calibri" w:cs="Calibri"/>
          <w:sz w:val="24"/>
          <w:szCs w:val="24"/>
        </w:rPr>
        <w:lastRenderedPageBreak/>
        <w:t xml:space="preserve">(p&lt;0.03) and IgA (p&lt;0.05) level in the microvascular disease population. Elevation of asymmetrical dimethylarginine (p&lt;0.01) and endothelin-1 (p&lt;0.01) suggested endothelial dysfunction. In addition, there is elevation in the inflammatory markers urokinase-type plasminogen activator receptor (p&lt;0.05) </w:t>
      </w:r>
      <w:r w:rsidRPr="00860EE2">
        <w:rPr>
          <w:rFonts w:ascii="Calibri" w:hAnsi="Calibri" w:cs="Calibri"/>
          <w:sz w:val="24"/>
          <w:szCs w:val="24"/>
        </w:rPr>
        <w:t>and</w:t>
      </w:r>
      <w:r>
        <w:rPr>
          <w:rFonts w:ascii="Calibri" w:hAnsi="Calibri" w:cs="Calibri"/>
          <w:sz w:val="24"/>
          <w:szCs w:val="24"/>
        </w:rPr>
        <w:t xml:space="preserve"> serpin E1 (p&lt;0.02)</w:t>
      </w:r>
      <w:r w:rsidR="00256B0C">
        <w:rPr>
          <w:rFonts w:ascii="Calibri" w:hAnsi="Calibri" w:cs="Calibri"/>
          <w:sz w:val="24"/>
          <w:szCs w:val="24"/>
        </w:rPr>
        <w:t>. Cytokines,</w:t>
      </w:r>
      <w:r>
        <w:rPr>
          <w:rFonts w:ascii="Calibri" w:hAnsi="Calibri" w:cs="Calibri"/>
          <w:sz w:val="24"/>
          <w:szCs w:val="24"/>
        </w:rPr>
        <w:t xml:space="preserve"> interleukin-2 (p&lt;0.02) and interleukin-12 (p&lt;0.04) were significantly elevated in the microvascular dysfunction group.</w:t>
      </w:r>
    </w:p>
    <w:p w14:paraId="2CFF25C5" w14:textId="77777777" w:rsidR="002207DA" w:rsidRDefault="002207DA" w:rsidP="002207DA">
      <w:pPr>
        <w:spacing w:line="360" w:lineRule="auto"/>
        <w:rPr>
          <w:rFonts w:ascii="Calibri" w:hAnsi="Calibri" w:cs="Calibri"/>
          <w:i/>
          <w:iCs/>
          <w:sz w:val="24"/>
          <w:szCs w:val="24"/>
        </w:rPr>
      </w:pPr>
      <w:r w:rsidRPr="003648EC">
        <w:rPr>
          <w:rFonts w:ascii="Calibri" w:hAnsi="Calibri" w:cs="Calibri"/>
          <w:i/>
          <w:iCs/>
          <w:sz w:val="24"/>
          <w:szCs w:val="24"/>
        </w:rPr>
        <w:t>Conclusions</w:t>
      </w:r>
    </w:p>
    <w:p w14:paraId="5358D0C7" w14:textId="18A4179D" w:rsidR="002207DA" w:rsidRPr="003648EC" w:rsidRDefault="002207DA" w:rsidP="002207DA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256B0C">
        <w:rPr>
          <w:rFonts w:ascii="Calibri" w:hAnsi="Calibri" w:cs="Calibri"/>
          <w:sz w:val="24"/>
          <w:szCs w:val="24"/>
        </w:rPr>
        <w:t>This</w:t>
      </w:r>
      <w:r>
        <w:rPr>
          <w:rFonts w:ascii="Calibri" w:hAnsi="Calibri" w:cs="Calibri"/>
          <w:sz w:val="24"/>
          <w:szCs w:val="24"/>
        </w:rPr>
        <w:t xml:space="preserve"> study demonstrate</w:t>
      </w:r>
      <w:r w:rsidR="00256B0C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</w:t>
      </w:r>
      <w:r w:rsidR="00256B0C">
        <w:rPr>
          <w:rFonts w:ascii="Calibri" w:hAnsi="Calibri" w:cs="Calibri"/>
          <w:sz w:val="24"/>
          <w:szCs w:val="24"/>
        </w:rPr>
        <w:t xml:space="preserve">an increase in </w:t>
      </w:r>
      <w:r>
        <w:rPr>
          <w:rFonts w:ascii="Calibri" w:hAnsi="Calibri" w:cs="Calibri"/>
          <w:sz w:val="24"/>
          <w:szCs w:val="24"/>
        </w:rPr>
        <w:t>oxidative stress</w:t>
      </w:r>
      <w:r w:rsidR="00256B0C">
        <w:rPr>
          <w:rFonts w:ascii="Calibri" w:hAnsi="Calibri" w:cs="Calibri"/>
          <w:sz w:val="24"/>
          <w:szCs w:val="24"/>
        </w:rPr>
        <w:t xml:space="preserve"> increased</w:t>
      </w:r>
      <w:r>
        <w:rPr>
          <w:rFonts w:ascii="Calibri" w:hAnsi="Calibri" w:cs="Calibri"/>
          <w:sz w:val="24"/>
          <w:szCs w:val="24"/>
        </w:rPr>
        <w:t xml:space="preserve"> IgG and IgA anti-MAA antibody levels</w:t>
      </w:r>
      <w:r w:rsidR="00256B0C">
        <w:rPr>
          <w:rFonts w:ascii="Calibri" w:hAnsi="Calibri" w:cs="Calibri"/>
          <w:sz w:val="24"/>
          <w:szCs w:val="24"/>
        </w:rPr>
        <w:t xml:space="preserve"> in patients with microvascular disease. </w:t>
      </w:r>
      <w:r>
        <w:rPr>
          <w:rFonts w:ascii="Calibri" w:hAnsi="Calibri" w:cs="Calibri"/>
          <w:sz w:val="24"/>
          <w:szCs w:val="24"/>
        </w:rPr>
        <w:t xml:space="preserve">The role of endothelial dysfunction is corroborated by the elevation of ADMA and endothlin-1. </w:t>
      </w:r>
      <w:r w:rsidR="00256B0C">
        <w:rPr>
          <w:rFonts w:ascii="Calibri" w:hAnsi="Calibri" w:cs="Calibri"/>
          <w:sz w:val="24"/>
          <w:szCs w:val="24"/>
        </w:rPr>
        <w:t xml:space="preserve">Also, an </w:t>
      </w:r>
      <w:r>
        <w:rPr>
          <w:rFonts w:ascii="Calibri" w:hAnsi="Calibri" w:cs="Calibri"/>
          <w:sz w:val="24"/>
          <w:szCs w:val="24"/>
        </w:rPr>
        <w:t>increase in the cytokines IL-2 and IL-12 suggest</w:t>
      </w:r>
      <w:r w:rsidR="00256B0C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a Th1 immune response </w:t>
      </w:r>
      <w:r w:rsidR="00256B0C">
        <w:rPr>
          <w:rFonts w:ascii="Calibri" w:hAnsi="Calibri" w:cs="Calibri"/>
          <w:sz w:val="24"/>
          <w:szCs w:val="24"/>
        </w:rPr>
        <w:t xml:space="preserve">and </w:t>
      </w:r>
      <w:r>
        <w:rPr>
          <w:rFonts w:ascii="Calibri" w:hAnsi="Calibri" w:cs="Calibri"/>
          <w:sz w:val="24"/>
          <w:szCs w:val="24"/>
        </w:rPr>
        <w:t>perpetuat</w:t>
      </w:r>
      <w:r w:rsidR="00256B0C">
        <w:rPr>
          <w:rFonts w:ascii="Calibri" w:hAnsi="Calibri" w:cs="Calibri"/>
          <w:sz w:val="24"/>
          <w:szCs w:val="24"/>
        </w:rPr>
        <w:t>ing</w:t>
      </w:r>
      <w:r>
        <w:rPr>
          <w:rFonts w:ascii="Calibri" w:hAnsi="Calibri" w:cs="Calibri"/>
          <w:sz w:val="24"/>
          <w:szCs w:val="24"/>
        </w:rPr>
        <w:t xml:space="preserve"> the inflammat</w:t>
      </w:r>
      <w:r w:rsidR="00256B0C">
        <w:rPr>
          <w:rFonts w:ascii="Calibri" w:hAnsi="Calibri" w:cs="Calibri"/>
          <w:sz w:val="24"/>
          <w:szCs w:val="24"/>
        </w:rPr>
        <w:t>ory cascade in</w:t>
      </w:r>
      <w:r>
        <w:rPr>
          <w:rFonts w:ascii="Calibri" w:hAnsi="Calibri" w:cs="Calibri"/>
          <w:sz w:val="24"/>
          <w:szCs w:val="24"/>
        </w:rPr>
        <w:t xml:space="preserve"> coronary microvascular dysfunction. </w:t>
      </w:r>
    </w:p>
    <w:p w14:paraId="704A2080" w14:textId="77777777" w:rsidR="00AE21FB" w:rsidRDefault="00256B0C"/>
    <w:sectPr w:rsidR="00AE21FB" w:rsidSect="00DC5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DA"/>
    <w:rsid w:val="002207DA"/>
    <w:rsid w:val="00256B0C"/>
    <w:rsid w:val="003650C4"/>
    <w:rsid w:val="005B5197"/>
    <w:rsid w:val="00D43850"/>
    <w:rsid w:val="00DC595A"/>
    <w:rsid w:val="00F5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05EFD"/>
  <w14:defaultImageDpi w14:val="32767"/>
  <w15:chartTrackingRefBased/>
  <w15:docId w15:val="{8558F1C2-D9A7-8F4F-8051-8EAB6AF9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207D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372</Words>
  <Characters>2442</Characters>
  <Application>Microsoft Office Word</Application>
  <DocSecurity>0</DocSecurity>
  <Lines>39</Lines>
  <Paragraphs>10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Garvin, Robert P</dc:creator>
  <cp:keywords/>
  <dc:description/>
  <cp:lastModifiedBy>Garvin, Robert P</cp:lastModifiedBy>
  <cp:revision>3</cp:revision>
  <dcterms:created xsi:type="dcterms:W3CDTF">2021-09-14T19:12:00Z</dcterms:created>
  <dcterms:modified xsi:type="dcterms:W3CDTF">2021-09-16T03:18:00Z</dcterms:modified>
</cp:coreProperties>
</file>