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8241" w14:textId="1FF8C470" w:rsidR="00141347" w:rsidRPr="00BF1C21" w:rsidRDefault="001F2AF8" w:rsidP="000D0CB7">
      <w:pPr>
        <w:spacing w:after="0" w:line="240" w:lineRule="auto"/>
        <w:jc w:val="center"/>
        <w:rPr>
          <w:b/>
          <w:bCs/>
          <w:color w:val="000000"/>
          <w:sz w:val="36"/>
          <w:szCs w:val="36"/>
        </w:rPr>
      </w:pPr>
      <w:r w:rsidRPr="00BF1C21">
        <w:rPr>
          <w:b/>
          <w:bCs/>
          <w:color w:val="000000"/>
          <w:sz w:val="36"/>
          <w:szCs w:val="36"/>
        </w:rPr>
        <w:t>HEART FAILURE</w:t>
      </w:r>
      <w:r w:rsidR="002D104D" w:rsidRPr="00BF1C21">
        <w:rPr>
          <w:b/>
          <w:bCs/>
          <w:color w:val="000000"/>
          <w:sz w:val="36"/>
          <w:szCs w:val="36"/>
        </w:rPr>
        <w:t xml:space="preserve"> MAY BE REAL A CHALLENGE TO PERCUTANEOUS PFO CLOSURE</w:t>
      </w:r>
    </w:p>
    <w:p w14:paraId="4A2D6ACE" w14:textId="07415B3E" w:rsidR="002D304C" w:rsidRPr="007A7C00" w:rsidRDefault="002D304C" w:rsidP="00E25495">
      <w:pPr>
        <w:pStyle w:val="Heading1"/>
        <w:shd w:val="clear" w:color="auto" w:fill="FFFFFF"/>
        <w:spacing w:line="264" w:lineRule="atLeast"/>
        <w:jc w:val="center"/>
        <w:rPr>
          <w:rFonts w:ascii="HelveticaNeue" w:eastAsia="Times New Roman" w:hAnsi="HelveticaNeue" w:cs="Times New Roman"/>
          <w:color w:val="000000"/>
          <w:kern w:val="36"/>
          <w:sz w:val="22"/>
          <w:szCs w:val="22"/>
        </w:rPr>
      </w:pPr>
      <w:r w:rsidRPr="007A7C00">
        <w:rPr>
          <w:rFonts w:ascii="HelveticaNeue" w:hAnsi="HelveticaNeue" w:cs="Segoe UI"/>
          <w:color w:val="201F1E"/>
          <w:sz w:val="22"/>
          <w:szCs w:val="22"/>
          <w:shd w:val="clear" w:color="auto" w:fill="FFFFFF"/>
        </w:rPr>
        <w:t>Kristen N. Brown, MD,</w:t>
      </w:r>
      <w:r w:rsidR="0006203E" w:rsidRPr="007A7C00">
        <w:rPr>
          <w:rFonts w:ascii="HelveticaNeue" w:hAnsi="HelveticaNeue" w:cs="Segoe UI"/>
          <w:color w:val="201F1E"/>
          <w:sz w:val="22"/>
          <w:szCs w:val="22"/>
          <w:shd w:val="clear" w:color="auto" w:fill="FFFFFF"/>
        </w:rPr>
        <w:t xml:space="preserve"> </w:t>
      </w:r>
      <w:r w:rsidR="0006203E" w:rsidRPr="007A7C00">
        <w:rPr>
          <w:rFonts w:ascii="HelveticaNeue" w:hAnsi="HelveticaNeue"/>
          <w:color w:val="000000"/>
          <w:sz w:val="22"/>
          <w:szCs w:val="22"/>
        </w:rPr>
        <w:t>Gleb</w:t>
      </w:r>
      <w:r w:rsidR="00DB6899" w:rsidRPr="007A7C00">
        <w:rPr>
          <w:rFonts w:ascii="HelveticaNeue" w:hAnsi="HelveticaNeue"/>
          <w:color w:val="000000"/>
          <w:sz w:val="22"/>
          <w:szCs w:val="22"/>
        </w:rPr>
        <w:t xml:space="preserve"> R.</w:t>
      </w:r>
      <w:r w:rsidR="0006203E" w:rsidRPr="007A7C00">
        <w:rPr>
          <w:rFonts w:ascii="HelveticaNeue" w:hAnsi="HelveticaNeue"/>
          <w:color w:val="000000"/>
          <w:sz w:val="22"/>
          <w:szCs w:val="22"/>
        </w:rPr>
        <w:t xml:space="preserve"> Haynatzki, PhD, DSc,</w:t>
      </w:r>
      <w:r w:rsidRPr="007A7C00">
        <w:rPr>
          <w:rFonts w:ascii="HelveticaNeue" w:hAnsi="HelveticaNeue" w:cs="Segoe UI"/>
          <w:color w:val="201F1E"/>
          <w:sz w:val="22"/>
          <w:szCs w:val="22"/>
          <w:shd w:val="clear" w:color="auto" w:fill="FFFFFF"/>
        </w:rPr>
        <w:t xml:space="preserve"> </w:t>
      </w:r>
      <w:r w:rsidR="001D5ACB" w:rsidRPr="007A7C00">
        <w:rPr>
          <w:rFonts w:ascii="HelveticaNeue" w:hAnsi="HelveticaNeue" w:cs="Segoe UI"/>
          <w:color w:val="201F1E"/>
          <w:sz w:val="22"/>
          <w:szCs w:val="22"/>
          <w:shd w:val="clear" w:color="auto" w:fill="FFFFFF"/>
        </w:rPr>
        <w:t xml:space="preserve">and </w:t>
      </w:r>
      <w:r w:rsidRPr="007A7C00">
        <w:rPr>
          <w:rFonts w:ascii="HelveticaNeue" w:hAnsi="HelveticaNeue" w:cs="Segoe UI"/>
          <w:color w:val="201F1E"/>
          <w:sz w:val="22"/>
          <w:szCs w:val="22"/>
          <w:shd w:val="clear" w:color="auto" w:fill="FFFFFF"/>
        </w:rPr>
        <w:t xml:space="preserve">Andrew </w:t>
      </w:r>
      <w:r w:rsidRPr="007A7C00">
        <w:rPr>
          <w:rFonts w:ascii="HelveticaNeue" w:hAnsi="HelveticaNeue" w:cstheme="minorHAnsi"/>
          <w:color w:val="201F1E"/>
          <w:sz w:val="22"/>
          <w:szCs w:val="22"/>
          <w:shd w:val="clear" w:color="auto" w:fill="FFFFFF"/>
        </w:rPr>
        <w:t xml:space="preserve">Goldsweig, </w:t>
      </w:r>
      <w:r w:rsidR="00E25495" w:rsidRPr="007A7C00">
        <w:rPr>
          <w:rFonts w:ascii="HelveticaNeue" w:eastAsia="Times New Roman" w:hAnsi="HelveticaNeue" w:cstheme="minorHAnsi"/>
          <w:color w:val="000000"/>
          <w:kern w:val="36"/>
          <w:sz w:val="22"/>
          <w:szCs w:val="22"/>
        </w:rPr>
        <w:t>MD, MS, FACC</w:t>
      </w:r>
    </w:p>
    <w:p w14:paraId="24929C7E" w14:textId="1FE7C075" w:rsidR="002D304C" w:rsidRPr="007A7C00" w:rsidRDefault="002D304C" w:rsidP="002D304C">
      <w:pPr>
        <w:spacing w:after="0" w:line="240" w:lineRule="auto"/>
        <w:jc w:val="center"/>
        <w:rPr>
          <w:rFonts w:ascii="HelveticaNeue" w:eastAsia="Times New Roman" w:hAnsi="HelveticaNeue"/>
          <w:color w:val="000000"/>
        </w:rPr>
      </w:pPr>
      <w:r w:rsidRPr="007A7C00">
        <w:rPr>
          <w:rFonts w:ascii="HelveticaNeue" w:hAnsi="HelveticaNeue" w:cs="Segoe UI"/>
          <w:color w:val="201F1E"/>
          <w:shd w:val="clear" w:color="auto" w:fill="FFFFFF"/>
        </w:rPr>
        <w:t>Division of Cardiovascular Disease</w:t>
      </w:r>
      <w:r w:rsidR="00275FA3" w:rsidRPr="007A7C00">
        <w:rPr>
          <w:rFonts w:ascii="HelveticaNeue" w:hAnsi="HelveticaNeue" w:cs="Segoe UI"/>
          <w:color w:val="201F1E"/>
          <w:shd w:val="clear" w:color="auto" w:fill="FFFFFF"/>
        </w:rPr>
        <w:t xml:space="preserve"> and Biostatistics Department</w:t>
      </w:r>
      <w:r w:rsidRPr="007A7C00">
        <w:rPr>
          <w:rFonts w:ascii="HelveticaNeue" w:hAnsi="HelveticaNeue" w:cs="Segoe UI"/>
          <w:color w:val="201F1E"/>
          <w:shd w:val="clear" w:color="auto" w:fill="FFFFFF"/>
        </w:rPr>
        <w:t xml:space="preserve"> at the University of Nebraska Medical Center</w:t>
      </w:r>
      <w:r w:rsidR="008434B7" w:rsidRPr="007A7C00">
        <w:rPr>
          <w:rFonts w:ascii="HelveticaNeue" w:hAnsi="HelveticaNeue" w:cs="Segoe UI"/>
          <w:color w:val="201F1E"/>
          <w:shd w:val="clear" w:color="auto" w:fill="FFFFFF"/>
        </w:rPr>
        <w:t>, Omaha, Nebraska</w:t>
      </w:r>
    </w:p>
    <w:p w14:paraId="6650C042" w14:textId="77777777" w:rsidR="0088660B" w:rsidRPr="00BF1C21" w:rsidRDefault="0088660B" w:rsidP="00FF101D">
      <w:pPr>
        <w:rPr>
          <w:rFonts w:ascii="HelveticaNeue" w:eastAsia="Times New Roman" w:hAnsi="HelveticaNeue"/>
          <w:color w:val="000000"/>
          <w:sz w:val="24"/>
          <w:szCs w:val="24"/>
        </w:rPr>
      </w:pPr>
    </w:p>
    <w:p w14:paraId="31FB9181" w14:textId="2BC4427D" w:rsidR="00FF101D" w:rsidRPr="00BF1C21" w:rsidRDefault="003F3062" w:rsidP="00FF101D">
      <w:pPr>
        <w:rPr>
          <w:rFonts w:ascii="HelveticaNeue" w:eastAsia="Times New Roman" w:hAnsi="HelveticaNeue"/>
          <w:color w:val="000000"/>
          <w:sz w:val="24"/>
          <w:szCs w:val="24"/>
        </w:rPr>
      </w:pPr>
      <w:r w:rsidRPr="00BF1C21">
        <w:rPr>
          <w:rFonts w:ascii="HelveticaNeue" w:eastAsia="Times New Roman" w:hAnsi="HelveticaNeue"/>
          <w:color w:val="000000"/>
          <w:sz w:val="24"/>
          <w:szCs w:val="24"/>
        </w:rPr>
        <w:t>Background</w:t>
      </w:r>
      <w:r w:rsidR="00FF101D" w:rsidRPr="00BF1C21">
        <w:rPr>
          <w:rFonts w:ascii="HelveticaNeue" w:eastAsia="Times New Roman" w:hAnsi="HelveticaNeue"/>
          <w:color w:val="000000"/>
          <w:sz w:val="24"/>
          <w:szCs w:val="24"/>
        </w:rPr>
        <w:t>:</w:t>
      </w:r>
    </w:p>
    <w:p w14:paraId="23378669" w14:textId="636FFB47" w:rsidR="000E644A" w:rsidRPr="00FA3BE1" w:rsidRDefault="00140D05" w:rsidP="000E644A">
      <w:pPr>
        <w:jc w:val="both"/>
        <w:rPr>
          <w:rFonts w:ascii="HelveticaNeue" w:eastAsia="Times New Roman" w:hAnsi="HelveticaNeue"/>
          <w:color w:val="000000"/>
          <w:sz w:val="24"/>
          <w:szCs w:val="24"/>
          <w:vertAlign w:val="superscript"/>
        </w:rPr>
      </w:pPr>
      <w:r>
        <w:rPr>
          <w:rFonts w:ascii="HelveticaNeue" w:hAnsi="HelveticaNeue"/>
          <w:color w:val="000000"/>
          <w:sz w:val="24"/>
          <w:szCs w:val="24"/>
        </w:rPr>
        <w:t>Heart failure</w:t>
      </w:r>
      <w:r w:rsidR="001558DE">
        <w:rPr>
          <w:rFonts w:ascii="HelveticaNeue" w:hAnsi="HelveticaNeue"/>
          <w:color w:val="000000"/>
          <w:sz w:val="24"/>
          <w:szCs w:val="24"/>
        </w:rPr>
        <w:t xml:space="preserve"> (HF)</w:t>
      </w:r>
      <w:r w:rsidR="003F3942">
        <w:rPr>
          <w:rFonts w:ascii="HelveticaNeue" w:hAnsi="HelveticaNeue"/>
          <w:color w:val="000000"/>
          <w:sz w:val="24"/>
          <w:szCs w:val="24"/>
        </w:rPr>
        <w:t xml:space="preserve"> is known to</w:t>
      </w:r>
      <w:r>
        <w:rPr>
          <w:rFonts w:ascii="HelveticaNeue" w:hAnsi="HelveticaNeue"/>
          <w:color w:val="000000"/>
          <w:sz w:val="24"/>
          <w:szCs w:val="24"/>
        </w:rPr>
        <w:t xml:space="preserve"> </w:t>
      </w:r>
      <w:r w:rsidR="0011530D">
        <w:rPr>
          <w:rFonts w:ascii="HelveticaNeue" w:hAnsi="HelveticaNeue"/>
          <w:color w:val="000000"/>
          <w:sz w:val="24"/>
          <w:szCs w:val="24"/>
        </w:rPr>
        <w:t>increase the perioperative risk of noncardiac surgeries.</w:t>
      </w:r>
      <w:r w:rsidR="0011530D">
        <w:rPr>
          <w:rFonts w:ascii="HelveticaNeue" w:hAnsi="HelveticaNeue"/>
          <w:color w:val="000000"/>
          <w:sz w:val="24"/>
          <w:szCs w:val="24"/>
          <w:vertAlign w:val="superscript"/>
        </w:rPr>
        <w:t>1</w:t>
      </w:r>
      <w:r w:rsidR="00F200FE">
        <w:rPr>
          <w:rFonts w:ascii="HelveticaNeue" w:hAnsi="HelveticaNeue"/>
          <w:color w:val="000000"/>
          <w:sz w:val="24"/>
          <w:szCs w:val="24"/>
        </w:rPr>
        <w:t xml:space="preserve"> However, data is limited</w:t>
      </w:r>
      <w:r w:rsidR="00610C6A">
        <w:rPr>
          <w:rFonts w:ascii="HelveticaNeue" w:hAnsi="HelveticaNeue"/>
          <w:color w:val="000000"/>
          <w:sz w:val="24"/>
          <w:szCs w:val="24"/>
        </w:rPr>
        <w:t xml:space="preserve"> on the effects of</w:t>
      </w:r>
      <w:r w:rsidR="00EF6329" w:rsidRPr="00BF1C21">
        <w:rPr>
          <w:rFonts w:ascii="HelveticaNeue" w:hAnsi="HelveticaNeue"/>
          <w:color w:val="000000"/>
          <w:sz w:val="24"/>
          <w:szCs w:val="24"/>
        </w:rPr>
        <w:t xml:space="preserve"> </w:t>
      </w:r>
      <w:r w:rsidR="001558DE">
        <w:rPr>
          <w:rFonts w:ascii="HelveticaNeue" w:hAnsi="HelveticaNeue"/>
          <w:color w:val="000000"/>
          <w:sz w:val="24"/>
          <w:szCs w:val="24"/>
        </w:rPr>
        <w:t>HF</w:t>
      </w:r>
      <w:r w:rsidR="00EF6329" w:rsidRPr="00BF1C21">
        <w:rPr>
          <w:rFonts w:ascii="HelveticaNeue" w:hAnsi="HelveticaNeue"/>
          <w:color w:val="000000"/>
          <w:sz w:val="24"/>
          <w:szCs w:val="24"/>
        </w:rPr>
        <w:t xml:space="preserve"> </w:t>
      </w:r>
      <w:r w:rsidR="00610C6A">
        <w:rPr>
          <w:rFonts w:ascii="HelveticaNeue" w:hAnsi="HelveticaNeue"/>
          <w:color w:val="000000"/>
          <w:sz w:val="24"/>
          <w:szCs w:val="24"/>
        </w:rPr>
        <w:t xml:space="preserve">in </w:t>
      </w:r>
      <w:r w:rsidR="00EF6329" w:rsidRPr="00BF1C21">
        <w:rPr>
          <w:rFonts w:ascii="HelveticaNeue" w:hAnsi="HelveticaNeue"/>
          <w:color w:val="000000"/>
          <w:sz w:val="24"/>
          <w:szCs w:val="24"/>
        </w:rPr>
        <w:t xml:space="preserve">patients who undergo percutaneous </w:t>
      </w:r>
      <w:r w:rsidR="003F3942">
        <w:rPr>
          <w:rFonts w:ascii="HelveticaNeue" w:hAnsi="HelveticaNeue"/>
          <w:color w:val="000000"/>
          <w:sz w:val="24"/>
          <w:szCs w:val="24"/>
        </w:rPr>
        <w:t>patent foramen ovale (</w:t>
      </w:r>
      <w:r w:rsidR="00EF6329" w:rsidRPr="00BF1C21">
        <w:rPr>
          <w:rFonts w:ascii="HelveticaNeue" w:hAnsi="HelveticaNeue"/>
          <w:color w:val="000000"/>
          <w:sz w:val="24"/>
          <w:szCs w:val="24"/>
        </w:rPr>
        <w:t>PFO</w:t>
      </w:r>
      <w:r w:rsidR="003F3942">
        <w:rPr>
          <w:rFonts w:ascii="HelveticaNeue" w:hAnsi="HelveticaNeue"/>
          <w:color w:val="000000"/>
          <w:sz w:val="24"/>
          <w:szCs w:val="24"/>
        </w:rPr>
        <w:t>)</w:t>
      </w:r>
      <w:r w:rsidR="00EF6329" w:rsidRPr="00BF1C21">
        <w:rPr>
          <w:rFonts w:ascii="HelveticaNeue" w:hAnsi="HelveticaNeue"/>
          <w:color w:val="000000"/>
          <w:sz w:val="24"/>
          <w:szCs w:val="24"/>
        </w:rPr>
        <w:t xml:space="preserve"> closure</w:t>
      </w:r>
      <w:r w:rsidR="000E644A" w:rsidRPr="00BF1C21">
        <w:rPr>
          <w:rFonts w:ascii="HelveticaNeue" w:hAnsi="HelveticaNeue"/>
          <w:color w:val="000000"/>
          <w:sz w:val="24"/>
          <w:szCs w:val="24"/>
        </w:rPr>
        <w:t>.</w:t>
      </w:r>
      <w:r w:rsidR="00610C6A">
        <w:rPr>
          <w:rFonts w:ascii="HelveticaNeue" w:hAnsi="HelveticaNeue"/>
          <w:color w:val="000000"/>
          <w:sz w:val="24"/>
          <w:szCs w:val="24"/>
          <w:vertAlign w:val="superscript"/>
        </w:rPr>
        <w:t>2</w:t>
      </w:r>
      <w:r w:rsidR="007D38F0">
        <w:rPr>
          <w:rFonts w:ascii="HelveticaNeue" w:hAnsi="HelveticaNeue"/>
          <w:color w:val="000000"/>
          <w:sz w:val="24"/>
          <w:szCs w:val="24"/>
          <w:vertAlign w:val="superscript"/>
        </w:rPr>
        <w:t>-</w:t>
      </w:r>
      <w:r w:rsidR="00FA3BE1">
        <w:rPr>
          <w:rFonts w:ascii="HelveticaNeue" w:hAnsi="HelveticaNeue"/>
          <w:color w:val="000000"/>
          <w:sz w:val="24"/>
          <w:szCs w:val="24"/>
          <w:vertAlign w:val="superscript"/>
        </w:rPr>
        <w:t>3</w:t>
      </w:r>
      <w:r w:rsidR="00FA3BE1" w:rsidRPr="00BF1C21">
        <w:rPr>
          <w:rFonts w:ascii="HelveticaNeue" w:hAnsi="HelveticaNeue"/>
          <w:color w:val="000000"/>
          <w:sz w:val="24"/>
          <w:szCs w:val="24"/>
        </w:rPr>
        <w:t xml:space="preserve"> </w:t>
      </w:r>
      <w:r w:rsidR="00FA3BE1" w:rsidRPr="00FA3BE1">
        <w:rPr>
          <w:rFonts w:ascii="HelveticaNeue" w:hAnsi="HelveticaNeue"/>
          <w:color w:val="000000"/>
          <w:sz w:val="24"/>
          <w:szCs w:val="24"/>
        </w:rPr>
        <w:t>One</w:t>
      </w:r>
      <w:r w:rsidR="00FA3BE1">
        <w:rPr>
          <w:rFonts w:ascii="HelveticaNeue" w:hAnsi="HelveticaNeue"/>
          <w:color w:val="000000"/>
          <w:sz w:val="24"/>
          <w:szCs w:val="24"/>
        </w:rPr>
        <w:t xml:space="preserve"> important outcome of percutaneous PFO closure is the presence of residual shunt as it is associated with </w:t>
      </w:r>
      <w:r w:rsidR="007A7415">
        <w:rPr>
          <w:rFonts w:ascii="HelveticaNeue" w:hAnsi="HelveticaNeue"/>
          <w:color w:val="000000"/>
          <w:sz w:val="24"/>
          <w:szCs w:val="24"/>
        </w:rPr>
        <w:t xml:space="preserve">an </w:t>
      </w:r>
      <w:r w:rsidR="00FA3BE1">
        <w:rPr>
          <w:rFonts w:ascii="HelveticaNeue" w:hAnsi="HelveticaNeue"/>
          <w:color w:val="000000"/>
          <w:sz w:val="24"/>
          <w:szCs w:val="24"/>
        </w:rPr>
        <w:t>increased risk for stroke.</w:t>
      </w:r>
      <w:r w:rsidR="00FA3BE1">
        <w:rPr>
          <w:rFonts w:ascii="HelveticaNeue" w:hAnsi="HelveticaNeue"/>
          <w:color w:val="000000"/>
          <w:sz w:val="24"/>
          <w:szCs w:val="24"/>
          <w:vertAlign w:val="superscript"/>
        </w:rPr>
        <w:t>4</w:t>
      </w:r>
      <w:r w:rsidR="000E491C">
        <w:rPr>
          <w:rFonts w:ascii="HelveticaNeue" w:hAnsi="HelveticaNeue"/>
          <w:color w:val="000000"/>
          <w:sz w:val="24"/>
          <w:szCs w:val="24"/>
          <w:vertAlign w:val="superscript"/>
        </w:rPr>
        <w:t xml:space="preserve"> </w:t>
      </w:r>
      <w:r w:rsidR="000E644A" w:rsidRPr="00BF1C21">
        <w:rPr>
          <w:rFonts w:ascii="HelveticaNeue" w:hAnsi="HelveticaNeue"/>
          <w:color w:val="000000"/>
          <w:sz w:val="24"/>
          <w:szCs w:val="24"/>
        </w:rPr>
        <w:t xml:space="preserve">This study aims to identify </w:t>
      </w:r>
      <w:r w:rsidR="00CD175C">
        <w:rPr>
          <w:rFonts w:ascii="HelveticaNeue" w:hAnsi="HelveticaNeue"/>
          <w:color w:val="000000"/>
          <w:sz w:val="24"/>
          <w:szCs w:val="24"/>
        </w:rPr>
        <w:t>risk factors for</w:t>
      </w:r>
      <w:r w:rsidR="000E491C">
        <w:rPr>
          <w:rFonts w:ascii="HelveticaNeue" w:hAnsi="HelveticaNeue"/>
          <w:color w:val="000000"/>
          <w:sz w:val="24"/>
          <w:szCs w:val="24"/>
        </w:rPr>
        <w:t xml:space="preserve"> residual shunt following</w:t>
      </w:r>
      <w:r w:rsidR="002E3712" w:rsidRPr="00BF1C21">
        <w:rPr>
          <w:rFonts w:ascii="HelveticaNeue" w:hAnsi="HelveticaNeue"/>
          <w:color w:val="000000"/>
          <w:sz w:val="24"/>
          <w:szCs w:val="24"/>
        </w:rPr>
        <w:t xml:space="preserve"> </w:t>
      </w:r>
      <w:r w:rsidR="005A412B" w:rsidRPr="00BF1C21">
        <w:rPr>
          <w:rFonts w:ascii="HelveticaNeue" w:hAnsi="HelveticaNeue"/>
          <w:color w:val="000000"/>
          <w:sz w:val="24"/>
          <w:szCs w:val="24"/>
        </w:rPr>
        <w:t xml:space="preserve">percutaneous PFO closure within the </w:t>
      </w:r>
      <w:r w:rsidR="001558DE">
        <w:rPr>
          <w:rFonts w:ascii="HelveticaNeue" w:hAnsi="HelveticaNeue"/>
          <w:color w:val="000000"/>
          <w:sz w:val="24"/>
          <w:szCs w:val="24"/>
        </w:rPr>
        <w:t>HF</w:t>
      </w:r>
      <w:r w:rsidR="005A412B" w:rsidRPr="00BF1C21">
        <w:rPr>
          <w:rFonts w:ascii="HelveticaNeue" w:hAnsi="HelveticaNeue"/>
          <w:color w:val="000000"/>
          <w:sz w:val="24"/>
          <w:szCs w:val="24"/>
        </w:rPr>
        <w:t xml:space="preserve"> population</w:t>
      </w:r>
      <w:r w:rsidR="00B96A19" w:rsidRPr="00BF1C21">
        <w:rPr>
          <w:rFonts w:ascii="HelveticaNeue" w:hAnsi="HelveticaNeue"/>
          <w:color w:val="000000"/>
          <w:sz w:val="24"/>
          <w:szCs w:val="24"/>
        </w:rPr>
        <w:t>.</w:t>
      </w:r>
      <w:r w:rsidR="00BF3574">
        <w:rPr>
          <w:rFonts w:ascii="HelveticaNeue" w:hAnsi="HelveticaNeue"/>
          <w:color w:val="000000"/>
          <w:sz w:val="24"/>
          <w:szCs w:val="24"/>
        </w:rPr>
        <w:t xml:space="preserve"> </w:t>
      </w:r>
    </w:p>
    <w:p w14:paraId="60C901E5" w14:textId="07F05C86" w:rsidR="00FF101D" w:rsidRPr="00BF1C21" w:rsidRDefault="003F3062" w:rsidP="00FF101D">
      <w:pPr>
        <w:rPr>
          <w:rFonts w:ascii="HelveticaNeue" w:eastAsia="Times New Roman" w:hAnsi="HelveticaNeue"/>
          <w:color w:val="000000"/>
          <w:sz w:val="24"/>
          <w:szCs w:val="24"/>
        </w:rPr>
      </w:pPr>
      <w:r w:rsidRPr="00BF1C21">
        <w:rPr>
          <w:rFonts w:ascii="HelveticaNeue" w:eastAsia="Times New Roman" w:hAnsi="HelveticaNeue"/>
          <w:color w:val="000000"/>
          <w:sz w:val="24"/>
          <w:szCs w:val="24"/>
        </w:rPr>
        <w:t>Methods</w:t>
      </w:r>
      <w:r w:rsidR="00FF101D" w:rsidRPr="00BF1C21">
        <w:rPr>
          <w:rFonts w:ascii="HelveticaNeue" w:eastAsia="Times New Roman" w:hAnsi="HelveticaNeue"/>
          <w:color w:val="000000"/>
          <w:sz w:val="24"/>
          <w:szCs w:val="24"/>
        </w:rPr>
        <w:t>:</w:t>
      </w:r>
    </w:p>
    <w:p w14:paraId="2B1A3B0D" w14:textId="110BAEA1" w:rsidR="000E644A" w:rsidRPr="00BF1C21" w:rsidRDefault="000E644A" w:rsidP="000E644A">
      <w:pPr>
        <w:jc w:val="both"/>
        <w:rPr>
          <w:rFonts w:ascii="HelveticaNeue" w:eastAsia="Times New Roman" w:hAnsi="HelveticaNeue"/>
          <w:sz w:val="24"/>
          <w:szCs w:val="24"/>
        </w:rPr>
      </w:pPr>
      <w:r w:rsidRPr="00BF1C21">
        <w:rPr>
          <w:rFonts w:ascii="HelveticaNeue" w:hAnsi="HelveticaNeue"/>
          <w:color w:val="000000"/>
          <w:sz w:val="24"/>
          <w:szCs w:val="24"/>
        </w:rPr>
        <w:t xml:space="preserve">Single-center retrospective analysis of </w:t>
      </w:r>
      <w:r w:rsidR="007054E0" w:rsidRPr="00BF1C21">
        <w:rPr>
          <w:rFonts w:ascii="HelveticaNeue" w:hAnsi="HelveticaNeue"/>
          <w:color w:val="000000"/>
          <w:sz w:val="24"/>
          <w:szCs w:val="24"/>
        </w:rPr>
        <w:t xml:space="preserve">137 patients who underwent </w:t>
      </w:r>
      <w:r w:rsidRPr="00BF1C21">
        <w:rPr>
          <w:rFonts w:ascii="HelveticaNeue" w:hAnsi="HelveticaNeue"/>
          <w:color w:val="000000"/>
          <w:sz w:val="24"/>
          <w:szCs w:val="24"/>
        </w:rPr>
        <w:t xml:space="preserve">percutaneous PFO closure </w:t>
      </w:r>
      <w:r w:rsidR="00A02197">
        <w:rPr>
          <w:rFonts w:ascii="HelveticaNeue" w:hAnsi="HelveticaNeue"/>
          <w:color w:val="000000"/>
          <w:sz w:val="24"/>
          <w:szCs w:val="24"/>
        </w:rPr>
        <w:t>from</w:t>
      </w:r>
      <w:r w:rsidR="00A02197" w:rsidRPr="00BF1C21">
        <w:rPr>
          <w:rFonts w:ascii="HelveticaNeue" w:hAnsi="HelveticaNeue"/>
          <w:color w:val="000000"/>
          <w:sz w:val="24"/>
          <w:szCs w:val="24"/>
        </w:rPr>
        <w:t xml:space="preserve"> </w:t>
      </w:r>
      <w:r w:rsidRPr="00BF1C21">
        <w:rPr>
          <w:rFonts w:ascii="HelveticaNeue" w:hAnsi="HelveticaNeue"/>
          <w:color w:val="000000"/>
          <w:sz w:val="24"/>
          <w:szCs w:val="24"/>
        </w:rPr>
        <w:t xml:space="preserve">January </w:t>
      </w:r>
      <w:r w:rsidR="00FA2802" w:rsidRPr="00BF1C21">
        <w:rPr>
          <w:rFonts w:ascii="HelveticaNeue" w:hAnsi="HelveticaNeue"/>
          <w:color w:val="000000"/>
          <w:sz w:val="24"/>
          <w:szCs w:val="24"/>
        </w:rPr>
        <w:t xml:space="preserve">1, </w:t>
      </w:r>
      <w:r w:rsidR="00BF1C21" w:rsidRPr="00BF1C21">
        <w:rPr>
          <w:rFonts w:ascii="HelveticaNeue" w:hAnsi="HelveticaNeue"/>
          <w:color w:val="000000"/>
          <w:sz w:val="24"/>
          <w:szCs w:val="24"/>
        </w:rPr>
        <w:t>2009,</w:t>
      </w:r>
      <w:r w:rsidRPr="00BF1C21">
        <w:rPr>
          <w:rFonts w:ascii="HelveticaNeue" w:hAnsi="HelveticaNeue"/>
          <w:color w:val="000000"/>
          <w:sz w:val="24"/>
          <w:szCs w:val="24"/>
        </w:rPr>
        <w:t xml:space="preserve"> to December </w:t>
      </w:r>
      <w:r w:rsidR="00FA2802" w:rsidRPr="00BF1C21">
        <w:rPr>
          <w:rFonts w:ascii="HelveticaNeue" w:hAnsi="HelveticaNeue"/>
          <w:color w:val="000000"/>
          <w:sz w:val="24"/>
          <w:szCs w:val="24"/>
        </w:rPr>
        <w:t xml:space="preserve">31, </w:t>
      </w:r>
      <w:r w:rsidRPr="00BF1C21">
        <w:rPr>
          <w:rFonts w:ascii="HelveticaNeue" w:hAnsi="HelveticaNeue"/>
          <w:color w:val="000000"/>
          <w:sz w:val="24"/>
          <w:szCs w:val="24"/>
        </w:rPr>
        <w:t xml:space="preserve">2020. </w:t>
      </w:r>
      <w:r w:rsidR="00F935FC">
        <w:rPr>
          <w:rFonts w:ascii="HelveticaNeue" w:hAnsi="HelveticaNeue"/>
          <w:color w:val="000000"/>
          <w:sz w:val="24"/>
          <w:szCs w:val="24"/>
        </w:rPr>
        <w:t xml:space="preserve">Pre and </w:t>
      </w:r>
      <w:r w:rsidR="00407F97">
        <w:rPr>
          <w:rFonts w:ascii="HelveticaNeue" w:hAnsi="HelveticaNeue"/>
          <w:color w:val="000000"/>
          <w:sz w:val="24"/>
          <w:szCs w:val="24"/>
        </w:rPr>
        <w:t>post procedure</w:t>
      </w:r>
      <w:r w:rsidR="00F935FC">
        <w:rPr>
          <w:rFonts w:ascii="HelveticaNeue" w:hAnsi="HelveticaNeue"/>
          <w:color w:val="000000"/>
          <w:sz w:val="24"/>
          <w:szCs w:val="24"/>
        </w:rPr>
        <w:t xml:space="preserve"> echocardiograms were evaluated. </w:t>
      </w:r>
      <w:r w:rsidRPr="00BF1C21">
        <w:rPr>
          <w:rFonts w:ascii="HelveticaNeue" w:hAnsi="HelveticaNeue"/>
          <w:color w:val="000000"/>
          <w:sz w:val="24"/>
          <w:szCs w:val="24"/>
        </w:rPr>
        <w:t xml:space="preserve">PFO closure failure </w:t>
      </w:r>
      <w:r w:rsidR="00012D52" w:rsidRPr="00BF1C21">
        <w:rPr>
          <w:rFonts w:ascii="HelveticaNeue" w:hAnsi="HelveticaNeue"/>
          <w:color w:val="000000"/>
          <w:sz w:val="24"/>
          <w:szCs w:val="24"/>
        </w:rPr>
        <w:t>was</w:t>
      </w:r>
      <w:r w:rsidRPr="00BF1C21">
        <w:rPr>
          <w:rFonts w:ascii="HelveticaNeue" w:hAnsi="HelveticaNeue"/>
          <w:color w:val="000000"/>
          <w:sz w:val="24"/>
          <w:szCs w:val="24"/>
        </w:rPr>
        <w:t xml:space="preserve"> defined as one or more bubble(s) seen in the left heart within 3 beats of the cardiac cycle</w:t>
      </w:r>
      <w:r w:rsidR="00FA2802" w:rsidRPr="00BF1C21">
        <w:rPr>
          <w:rFonts w:ascii="HelveticaNeue" w:hAnsi="HelveticaNeue"/>
          <w:color w:val="000000"/>
          <w:sz w:val="24"/>
          <w:szCs w:val="24"/>
        </w:rPr>
        <w:t>,</w:t>
      </w:r>
      <w:r w:rsidRPr="00BF1C21">
        <w:rPr>
          <w:rFonts w:ascii="HelveticaNeue" w:hAnsi="HelveticaNeue"/>
          <w:color w:val="000000"/>
          <w:sz w:val="24"/>
          <w:szCs w:val="24"/>
        </w:rPr>
        <w:t xml:space="preserve"> as per the current guidelines</w:t>
      </w:r>
      <w:r w:rsidR="004425E7">
        <w:rPr>
          <w:rFonts w:ascii="HelveticaNeue" w:hAnsi="HelveticaNeue"/>
          <w:color w:val="000000"/>
          <w:sz w:val="24"/>
          <w:szCs w:val="24"/>
        </w:rPr>
        <w:t xml:space="preserve">. </w:t>
      </w:r>
      <w:r w:rsidR="007054E0" w:rsidRPr="00BF1C21">
        <w:rPr>
          <w:rFonts w:ascii="HelveticaNeue" w:hAnsi="HelveticaNeue"/>
          <w:color w:val="000000"/>
          <w:sz w:val="24"/>
          <w:szCs w:val="24"/>
        </w:rPr>
        <w:t xml:space="preserve">Systolic and diastolic dysfunction </w:t>
      </w:r>
      <w:r w:rsidR="006623C9" w:rsidRPr="00BF1C21">
        <w:rPr>
          <w:rFonts w:ascii="HelveticaNeue" w:hAnsi="HelveticaNeue"/>
          <w:color w:val="000000"/>
          <w:sz w:val="24"/>
          <w:szCs w:val="24"/>
        </w:rPr>
        <w:t>were</w:t>
      </w:r>
      <w:r w:rsidR="007054E0" w:rsidRPr="00BF1C21">
        <w:rPr>
          <w:rFonts w:ascii="HelveticaNeue" w:hAnsi="HelveticaNeue"/>
          <w:color w:val="000000"/>
          <w:sz w:val="24"/>
          <w:szCs w:val="24"/>
        </w:rPr>
        <w:t xml:space="preserve"> defined per 2017 American Society of Echocardiography guidelines. </w:t>
      </w:r>
      <w:r w:rsidR="00A44101" w:rsidRPr="00BF1C21">
        <w:rPr>
          <w:rFonts w:ascii="HelveticaNeue" w:hAnsi="HelveticaNeue"/>
          <w:color w:val="000000"/>
          <w:sz w:val="24"/>
          <w:szCs w:val="24"/>
        </w:rPr>
        <w:t>Survival</w:t>
      </w:r>
      <w:r w:rsidRPr="00BF1C21">
        <w:rPr>
          <w:rFonts w:ascii="HelveticaNeue" w:hAnsi="HelveticaNeue"/>
          <w:color w:val="000000"/>
          <w:sz w:val="24"/>
          <w:szCs w:val="24"/>
        </w:rPr>
        <w:t xml:space="preserve"> analysis </w:t>
      </w:r>
      <w:r w:rsidR="00A44101" w:rsidRPr="00BF1C21">
        <w:rPr>
          <w:rFonts w:ascii="HelveticaNeue" w:hAnsi="HelveticaNeue"/>
          <w:color w:val="000000"/>
          <w:sz w:val="24"/>
          <w:szCs w:val="24"/>
        </w:rPr>
        <w:t xml:space="preserve">using a </w:t>
      </w:r>
      <w:r w:rsidR="00FA2802" w:rsidRPr="00BF1C21">
        <w:rPr>
          <w:rFonts w:ascii="HelveticaNeue" w:hAnsi="HelveticaNeue"/>
          <w:color w:val="000000"/>
          <w:sz w:val="24"/>
          <w:szCs w:val="24"/>
        </w:rPr>
        <w:t xml:space="preserve">Cox </w:t>
      </w:r>
      <w:r w:rsidR="00A44101" w:rsidRPr="00BF1C21">
        <w:rPr>
          <w:rFonts w:ascii="HelveticaNeue" w:hAnsi="HelveticaNeue"/>
          <w:color w:val="000000"/>
          <w:sz w:val="24"/>
          <w:szCs w:val="24"/>
        </w:rPr>
        <w:t xml:space="preserve">regression model </w:t>
      </w:r>
      <w:r w:rsidR="00B96E3E" w:rsidRPr="00BF1C21">
        <w:rPr>
          <w:rFonts w:ascii="HelveticaNeue" w:hAnsi="HelveticaNeue"/>
          <w:color w:val="000000"/>
          <w:sz w:val="24"/>
          <w:szCs w:val="24"/>
        </w:rPr>
        <w:t>was</w:t>
      </w:r>
      <w:r w:rsidRPr="00BF1C21">
        <w:rPr>
          <w:rFonts w:ascii="HelveticaNeue" w:hAnsi="HelveticaNeue"/>
          <w:color w:val="000000"/>
          <w:sz w:val="24"/>
          <w:szCs w:val="24"/>
        </w:rPr>
        <w:t xml:space="preserve"> performed to assess for associations between </w:t>
      </w:r>
      <w:r w:rsidR="001558DE">
        <w:rPr>
          <w:rFonts w:ascii="HelveticaNeue" w:hAnsi="HelveticaNeue"/>
          <w:color w:val="000000"/>
          <w:sz w:val="24"/>
          <w:szCs w:val="24"/>
        </w:rPr>
        <w:t>HF</w:t>
      </w:r>
      <w:r w:rsidR="00584A60" w:rsidRPr="00BF1C21">
        <w:rPr>
          <w:rFonts w:ascii="HelveticaNeue" w:hAnsi="HelveticaNeue"/>
          <w:color w:val="000000"/>
          <w:sz w:val="24"/>
          <w:szCs w:val="24"/>
        </w:rPr>
        <w:t xml:space="preserve"> etiology, </w:t>
      </w:r>
      <w:r w:rsidRPr="00BF1C21">
        <w:rPr>
          <w:rFonts w:ascii="HelveticaNeue" w:hAnsi="HelveticaNeue"/>
          <w:color w:val="000000"/>
          <w:sz w:val="24"/>
          <w:szCs w:val="24"/>
        </w:rPr>
        <w:t>echocardiographic parameters</w:t>
      </w:r>
      <w:r w:rsidR="00584A60" w:rsidRPr="00BF1C21">
        <w:rPr>
          <w:rFonts w:ascii="HelveticaNeue" w:hAnsi="HelveticaNeue"/>
          <w:color w:val="000000"/>
          <w:sz w:val="24"/>
          <w:szCs w:val="24"/>
        </w:rPr>
        <w:t xml:space="preserve"> found in </w:t>
      </w:r>
      <w:r w:rsidR="001558DE">
        <w:rPr>
          <w:rFonts w:ascii="HelveticaNeue" w:hAnsi="HelveticaNeue"/>
          <w:color w:val="000000"/>
          <w:sz w:val="24"/>
          <w:szCs w:val="24"/>
        </w:rPr>
        <w:t>HF</w:t>
      </w:r>
      <w:r w:rsidR="00584A60" w:rsidRPr="00BF1C21">
        <w:rPr>
          <w:rFonts w:ascii="HelveticaNeue" w:hAnsi="HelveticaNeue"/>
          <w:color w:val="000000"/>
          <w:sz w:val="24"/>
          <w:szCs w:val="24"/>
        </w:rPr>
        <w:t xml:space="preserve"> patients</w:t>
      </w:r>
      <w:r w:rsidR="00807C7D">
        <w:rPr>
          <w:rFonts w:ascii="HelveticaNeue" w:hAnsi="HelveticaNeue"/>
          <w:color w:val="000000"/>
          <w:sz w:val="24"/>
          <w:szCs w:val="24"/>
        </w:rPr>
        <w:t>,</w:t>
      </w:r>
      <w:r w:rsidR="00B96E3E" w:rsidRPr="00BF1C21">
        <w:rPr>
          <w:rFonts w:ascii="HelveticaNeue" w:hAnsi="HelveticaNeue"/>
          <w:color w:val="000000"/>
          <w:sz w:val="24"/>
          <w:szCs w:val="24"/>
        </w:rPr>
        <w:t xml:space="preserve"> </w:t>
      </w:r>
      <w:r w:rsidR="00B96E3E" w:rsidRPr="00BF1C21">
        <w:rPr>
          <w:rFonts w:ascii="HelveticaNeue" w:hAnsi="HelveticaNeue"/>
          <w:sz w:val="24"/>
          <w:szCs w:val="24"/>
        </w:rPr>
        <w:t xml:space="preserve">and </w:t>
      </w:r>
      <w:r w:rsidR="00FA2802" w:rsidRPr="00BF1C21">
        <w:rPr>
          <w:rFonts w:ascii="HelveticaNeue" w:hAnsi="HelveticaNeue"/>
          <w:sz w:val="24"/>
          <w:szCs w:val="24"/>
        </w:rPr>
        <w:t xml:space="preserve">the risk of </w:t>
      </w:r>
      <w:r w:rsidRPr="00BF1C21">
        <w:rPr>
          <w:rFonts w:ascii="HelveticaNeue" w:hAnsi="HelveticaNeue"/>
          <w:sz w:val="24"/>
          <w:szCs w:val="24"/>
        </w:rPr>
        <w:t>PFO</w:t>
      </w:r>
      <w:r w:rsidR="00B96E3E" w:rsidRPr="00BF1C21">
        <w:rPr>
          <w:rFonts w:ascii="HelveticaNeue" w:hAnsi="HelveticaNeue"/>
          <w:sz w:val="24"/>
          <w:szCs w:val="24"/>
        </w:rPr>
        <w:t xml:space="preserve"> closure</w:t>
      </w:r>
      <w:r w:rsidRPr="00BF1C21">
        <w:rPr>
          <w:rFonts w:ascii="HelveticaNeue" w:hAnsi="HelveticaNeue"/>
          <w:sz w:val="24"/>
          <w:szCs w:val="24"/>
        </w:rPr>
        <w:t xml:space="preserve"> failure.</w:t>
      </w:r>
    </w:p>
    <w:p w14:paraId="62FBE8D0" w14:textId="77777777" w:rsidR="008C0801" w:rsidRPr="00BF1C21" w:rsidRDefault="003F3062" w:rsidP="003C1C89">
      <w:pPr>
        <w:jc w:val="both"/>
        <w:rPr>
          <w:rFonts w:ascii="HelveticaNeue" w:eastAsia="Times New Roman" w:hAnsi="HelveticaNeue"/>
          <w:sz w:val="24"/>
          <w:szCs w:val="24"/>
        </w:rPr>
      </w:pPr>
      <w:r w:rsidRPr="00BF1C21">
        <w:rPr>
          <w:rFonts w:ascii="HelveticaNeue" w:eastAsia="Times New Roman" w:hAnsi="HelveticaNeue"/>
          <w:sz w:val="24"/>
          <w:szCs w:val="24"/>
        </w:rPr>
        <w:t>Results</w:t>
      </w:r>
      <w:r w:rsidR="00FF101D" w:rsidRPr="00BF1C21">
        <w:rPr>
          <w:rFonts w:ascii="HelveticaNeue" w:eastAsia="Times New Roman" w:hAnsi="HelveticaNeue"/>
          <w:sz w:val="24"/>
          <w:szCs w:val="24"/>
        </w:rPr>
        <w:t>:</w:t>
      </w:r>
      <w:r w:rsidR="00A44101" w:rsidRPr="00BF1C21">
        <w:rPr>
          <w:rFonts w:ascii="HelveticaNeue" w:eastAsia="Times New Roman" w:hAnsi="HelveticaNeue"/>
          <w:sz w:val="24"/>
          <w:szCs w:val="24"/>
        </w:rPr>
        <w:t xml:space="preserve"> </w:t>
      </w:r>
    </w:p>
    <w:p w14:paraId="1E8EA7AB" w14:textId="451A71E1" w:rsidR="00FF101D" w:rsidRPr="00BF1C21" w:rsidRDefault="001F2AF8" w:rsidP="003C1C89">
      <w:pPr>
        <w:jc w:val="both"/>
        <w:rPr>
          <w:rFonts w:ascii="HelveticaNeue" w:eastAsia="Times New Roman" w:hAnsi="HelveticaNeue"/>
          <w:sz w:val="24"/>
          <w:szCs w:val="24"/>
        </w:rPr>
      </w:pPr>
      <w:r w:rsidRPr="00BF1C21">
        <w:rPr>
          <w:rFonts w:ascii="HelveticaNeue" w:eastAsia="Times New Roman" w:hAnsi="HelveticaNeue"/>
          <w:sz w:val="24"/>
          <w:szCs w:val="24"/>
        </w:rPr>
        <w:t xml:space="preserve">Systolic </w:t>
      </w:r>
      <w:r w:rsidR="00E065A1" w:rsidRPr="00BF1C21">
        <w:rPr>
          <w:rFonts w:ascii="HelveticaNeue" w:eastAsia="Times New Roman" w:hAnsi="HelveticaNeue"/>
          <w:sz w:val="24"/>
          <w:szCs w:val="24"/>
        </w:rPr>
        <w:t>dysfunction</w:t>
      </w:r>
      <w:r w:rsidRPr="00BF1C21">
        <w:rPr>
          <w:rFonts w:ascii="HelveticaNeue" w:eastAsia="Times New Roman" w:hAnsi="HelveticaNeue"/>
          <w:sz w:val="24"/>
          <w:szCs w:val="24"/>
        </w:rPr>
        <w:t xml:space="preserve"> </w:t>
      </w:r>
      <w:r w:rsidR="003C1C89" w:rsidRPr="00BF1C21">
        <w:rPr>
          <w:rFonts w:ascii="HelveticaNeue" w:eastAsia="Times New Roman" w:hAnsi="HelveticaNeue"/>
          <w:sz w:val="24"/>
          <w:szCs w:val="24"/>
        </w:rPr>
        <w:t>w</w:t>
      </w:r>
      <w:r w:rsidR="00E065A1" w:rsidRPr="00BF1C21">
        <w:rPr>
          <w:rFonts w:ascii="HelveticaNeue" w:eastAsia="Times New Roman" w:hAnsi="HelveticaNeue"/>
          <w:sz w:val="24"/>
          <w:szCs w:val="24"/>
        </w:rPr>
        <w:t>as</w:t>
      </w:r>
      <w:r w:rsidR="003C1C89" w:rsidRPr="00BF1C21">
        <w:rPr>
          <w:rFonts w:ascii="HelveticaNeue" w:eastAsia="Times New Roman" w:hAnsi="HelveticaNeue"/>
          <w:sz w:val="24"/>
          <w:szCs w:val="24"/>
        </w:rPr>
        <w:t xml:space="preserve"> found in </w:t>
      </w:r>
      <w:r w:rsidR="00DB6899" w:rsidRPr="00BF1C21">
        <w:rPr>
          <w:rFonts w:ascii="HelveticaNeue" w:eastAsia="Times New Roman" w:hAnsi="HelveticaNeue"/>
          <w:sz w:val="24"/>
          <w:szCs w:val="24"/>
        </w:rPr>
        <w:t>15</w:t>
      </w:r>
      <w:r w:rsidR="003C1C89" w:rsidRPr="00BF1C21">
        <w:rPr>
          <w:rFonts w:ascii="HelveticaNeue" w:eastAsia="Times New Roman" w:hAnsi="HelveticaNeue"/>
          <w:sz w:val="24"/>
          <w:szCs w:val="24"/>
        </w:rPr>
        <w:t xml:space="preserve"> patients (</w:t>
      </w:r>
      <w:r w:rsidR="00DB6899" w:rsidRPr="00BF1C21">
        <w:rPr>
          <w:rFonts w:ascii="HelveticaNeue" w:eastAsia="Times New Roman" w:hAnsi="HelveticaNeue"/>
          <w:sz w:val="24"/>
          <w:szCs w:val="24"/>
        </w:rPr>
        <w:t>11</w:t>
      </w:r>
      <w:r w:rsidR="003C1C89" w:rsidRPr="00BF1C21">
        <w:rPr>
          <w:rFonts w:ascii="HelveticaNeue" w:eastAsia="Times New Roman" w:hAnsi="HelveticaNeue"/>
          <w:sz w:val="24"/>
          <w:szCs w:val="24"/>
        </w:rPr>
        <w:t>%)</w:t>
      </w:r>
      <w:r w:rsidRPr="00BF1C21">
        <w:rPr>
          <w:rFonts w:ascii="HelveticaNeue" w:eastAsia="Times New Roman" w:hAnsi="HelveticaNeue"/>
          <w:sz w:val="24"/>
          <w:szCs w:val="24"/>
        </w:rPr>
        <w:t xml:space="preserve"> and diastolic </w:t>
      </w:r>
      <w:r w:rsidR="006107AE" w:rsidRPr="00BF1C21">
        <w:rPr>
          <w:rFonts w:ascii="HelveticaNeue" w:eastAsia="Times New Roman" w:hAnsi="HelveticaNeue"/>
          <w:sz w:val="24"/>
          <w:szCs w:val="24"/>
        </w:rPr>
        <w:t>dys</w:t>
      </w:r>
      <w:r w:rsidRPr="00BF1C21">
        <w:rPr>
          <w:rFonts w:ascii="HelveticaNeue" w:eastAsia="Times New Roman" w:hAnsi="HelveticaNeue"/>
          <w:sz w:val="24"/>
          <w:szCs w:val="24"/>
        </w:rPr>
        <w:t xml:space="preserve">function </w:t>
      </w:r>
      <w:r w:rsidR="00044302" w:rsidRPr="00BF1C21">
        <w:rPr>
          <w:rFonts w:ascii="HelveticaNeue" w:eastAsia="Times New Roman" w:hAnsi="HelveticaNeue"/>
          <w:sz w:val="24"/>
          <w:szCs w:val="24"/>
        </w:rPr>
        <w:t>was</w:t>
      </w:r>
      <w:r w:rsidRPr="00BF1C21">
        <w:rPr>
          <w:rFonts w:ascii="HelveticaNeue" w:eastAsia="Times New Roman" w:hAnsi="HelveticaNeue"/>
          <w:sz w:val="24"/>
          <w:szCs w:val="24"/>
        </w:rPr>
        <w:t xml:space="preserve"> found in </w:t>
      </w:r>
      <w:r w:rsidR="00DB6899" w:rsidRPr="00BF1C21">
        <w:rPr>
          <w:rFonts w:ascii="HelveticaNeue" w:eastAsia="Times New Roman" w:hAnsi="HelveticaNeue"/>
          <w:sz w:val="24"/>
          <w:szCs w:val="24"/>
        </w:rPr>
        <w:t>10</w:t>
      </w:r>
      <w:r w:rsidRPr="00BF1C21">
        <w:rPr>
          <w:rFonts w:ascii="HelveticaNeue" w:eastAsia="Times New Roman" w:hAnsi="HelveticaNeue"/>
          <w:sz w:val="24"/>
          <w:szCs w:val="24"/>
        </w:rPr>
        <w:t xml:space="preserve"> patients (</w:t>
      </w:r>
      <w:r w:rsidR="00DB6899" w:rsidRPr="00BF1C21">
        <w:rPr>
          <w:rFonts w:ascii="HelveticaNeue" w:eastAsia="Times New Roman" w:hAnsi="HelveticaNeue"/>
          <w:sz w:val="24"/>
          <w:szCs w:val="24"/>
        </w:rPr>
        <w:t>7</w:t>
      </w:r>
      <w:r w:rsidRPr="00BF1C21">
        <w:rPr>
          <w:rFonts w:ascii="HelveticaNeue" w:eastAsia="Times New Roman" w:hAnsi="HelveticaNeue"/>
          <w:sz w:val="24"/>
          <w:szCs w:val="24"/>
        </w:rPr>
        <w:t>%)</w:t>
      </w:r>
      <w:r w:rsidR="003C1C89" w:rsidRPr="00BF1C21">
        <w:rPr>
          <w:rFonts w:ascii="HelveticaNeue" w:eastAsia="Times New Roman" w:hAnsi="HelveticaNeue"/>
          <w:sz w:val="24"/>
          <w:szCs w:val="24"/>
        </w:rPr>
        <w:t xml:space="preserve">. Of these, </w:t>
      </w:r>
      <w:r w:rsidR="00044302" w:rsidRPr="00BF1C21">
        <w:rPr>
          <w:rFonts w:ascii="HelveticaNeue" w:eastAsia="Times New Roman" w:hAnsi="HelveticaNeue"/>
          <w:sz w:val="24"/>
          <w:szCs w:val="24"/>
        </w:rPr>
        <w:t>7</w:t>
      </w:r>
      <w:r w:rsidR="000534A2" w:rsidRPr="00BF1C21">
        <w:rPr>
          <w:rFonts w:ascii="HelveticaNeue" w:eastAsia="Times New Roman" w:hAnsi="HelveticaNeue"/>
          <w:sz w:val="24"/>
          <w:szCs w:val="24"/>
        </w:rPr>
        <w:t xml:space="preserve"> patients from each group</w:t>
      </w:r>
      <w:r w:rsidR="003C1C89" w:rsidRPr="00BF1C21">
        <w:rPr>
          <w:rFonts w:ascii="HelveticaNeue" w:eastAsia="Times New Roman" w:hAnsi="HelveticaNeue"/>
          <w:sz w:val="24"/>
          <w:szCs w:val="24"/>
        </w:rPr>
        <w:t xml:space="preserve"> resulted in </w:t>
      </w:r>
      <w:r w:rsidR="00282639">
        <w:rPr>
          <w:rFonts w:ascii="HelveticaNeue" w:eastAsia="Times New Roman" w:hAnsi="HelveticaNeue"/>
          <w:sz w:val="24"/>
          <w:szCs w:val="24"/>
        </w:rPr>
        <w:t>percutaneous</w:t>
      </w:r>
      <w:r w:rsidR="00282639" w:rsidRPr="00BF1C21">
        <w:rPr>
          <w:rFonts w:ascii="HelveticaNeue" w:eastAsia="Times New Roman" w:hAnsi="HelveticaNeue"/>
          <w:sz w:val="24"/>
          <w:szCs w:val="24"/>
        </w:rPr>
        <w:t xml:space="preserve"> </w:t>
      </w:r>
      <w:r w:rsidR="003C1C89" w:rsidRPr="00BF1C21">
        <w:rPr>
          <w:rFonts w:ascii="HelveticaNeue" w:eastAsia="Times New Roman" w:hAnsi="HelveticaNeue"/>
          <w:sz w:val="24"/>
          <w:szCs w:val="24"/>
        </w:rPr>
        <w:t>PFO closure failure</w:t>
      </w:r>
      <w:r w:rsidRPr="00BF1C21">
        <w:rPr>
          <w:rFonts w:ascii="HelveticaNeue" w:eastAsia="Times New Roman" w:hAnsi="HelveticaNeue"/>
          <w:sz w:val="24"/>
          <w:szCs w:val="24"/>
        </w:rPr>
        <w:t>, respect</w:t>
      </w:r>
      <w:r w:rsidR="006107AE" w:rsidRPr="00BF1C21">
        <w:rPr>
          <w:rFonts w:ascii="HelveticaNeue" w:eastAsia="Times New Roman" w:hAnsi="HelveticaNeue"/>
          <w:sz w:val="24"/>
          <w:szCs w:val="24"/>
        </w:rPr>
        <w:t>ively</w:t>
      </w:r>
      <w:r w:rsidR="003C1C89" w:rsidRPr="00BF1C21">
        <w:rPr>
          <w:rFonts w:ascii="HelveticaNeue" w:eastAsia="Times New Roman" w:hAnsi="HelveticaNeue"/>
          <w:sz w:val="24"/>
          <w:szCs w:val="24"/>
        </w:rPr>
        <w:t xml:space="preserve">. </w:t>
      </w:r>
      <w:r w:rsidR="003C1C89" w:rsidRPr="00BF1C21">
        <w:rPr>
          <w:rFonts w:ascii="HelveticaNeue" w:hAnsi="HelveticaNeue" w:cs="Segoe UI"/>
          <w:sz w:val="24"/>
          <w:szCs w:val="24"/>
          <w:shd w:val="clear" w:color="auto" w:fill="FFFFFF"/>
        </w:rPr>
        <w:t xml:space="preserve">The independent </w:t>
      </w:r>
      <w:r w:rsidR="00B719BE" w:rsidRPr="00BF1C21">
        <w:rPr>
          <w:rFonts w:ascii="HelveticaNeue" w:hAnsi="HelveticaNeue" w:cs="Segoe UI"/>
          <w:sz w:val="24"/>
          <w:szCs w:val="24"/>
          <w:shd w:val="clear" w:color="auto" w:fill="FFFFFF"/>
        </w:rPr>
        <w:t xml:space="preserve">(statistically significant, P &lt; 0.05) </w:t>
      </w:r>
      <w:r w:rsidR="003C1C89" w:rsidRPr="00BF1C21">
        <w:rPr>
          <w:rFonts w:ascii="HelveticaNeue" w:hAnsi="HelveticaNeue" w:cs="Segoe UI"/>
          <w:sz w:val="24"/>
          <w:szCs w:val="24"/>
          <w:shd w:val="clear" w:color="auto" w:fill="FFFFFF"/>
        </w:rPr>
        <w:t xml:space="preserve">predictors of PFO failure were </w:t>
      </w:r>
      <w:r w:rsidRPr="00BF1C21">
        <w:rPr>
          <w:rFonts w:ascii="HelveticaNeue" w:hAnsi="HelveticaNeue" w:cs="Segoe UI"/>
          <w:sz w:val="24"/>
          <w:szCs w:val="24"/>
          <w:shd w:val="clear" w:color="auto" w:fill="FFFFFF"/>
        </w:rPr>
        <w:t>systolic dysfunction</w:t>
      </w:r>
      <w:r w:rsidR="003C1C89" w:rsidRPr="00BF1C21">
        <w:rPr>
          <w:rFonts w:ascii="HelveticaNeue" w:hAnsi="HelveticaNeue" w:cs="Segoe UI"/>
          <w:sz w:val="24"/>
          <w:szCs w:val="24"/>
          <w:shd w:val="clear" w:color="auto" w:fill="FFFFFF"/>
        </w:rPr>
        <w:t xml:space="preserve"> (</w:t>
      </w:r>
      <w:r w:rsidR="00C410B3" w:rsidRPr="00BF1C21">
        <w:rPr>
          <w:rFonts w:ascii="HelveticaNeue" w:hAnsi="HelveticaNeue" w:cs="Segoe UI"/>
          <w:sz w:val="24"/>
          <w:szCs w:val="24"/>
          <w:shd w:val="clear" w:color="auto" w:fill="FFFFFF"/>
        </w:rPr>
        <w:t>Relative Risk, RR,</w:t>
      </w:r>
      <w:r w:rsidR="003C1C89" w:rsidRPr="00BF1C21">
        <w:rPr>
          <w:rFonts w:ascii="HelveticaNeue" w:hAnsi="HelveticaNeue" w:cs="Segoe UI"/>
          <w:sz w:val="24"/>
          <w:szCs w:val="24"/>
          <w:shd w:val="clear" w:color="auto" w:fill="FFFFFF"/>
        </w:rPr>
        <w:t xml:space="preserve"> </w:t>
      </w:r>
      <w:r w:rsidR="00C410B3" w:rsidRPr="00BF1C21">
        <w:rPr>
          <w:rFonts w:ascii="HelveticaNeue" w:hAnsi="HelveticaNeue" w:cs="Segoe UI"/>
          <w:sz w:val="24"/>
          <w:szCs w:val="24"/>
          <w:shd w:val="clear" w:color="auto" w:fill="FFFFFF"/>
        </w:rPr>
        <w:t>5.6</w:t>
      </w:r>
      <w:r w:rsidR="003C1C89" w:rsidRPr="00BF1C21">
        <w:rPr>
          <w:rFonts w:ascii="HelveticaNeue" w:hAnsi="HelveticaNeue" w:cs="Segoe UI"/>
          <w:sz w:val="24"/>
          <w:szCs w:val="24"/>
          <w:shd w:val="clear" w:color="auto" w:fill="FFFFFF"/>
        </w:rPr>
        <w:t>, 95% CI 1.</w:t>
      </w:r>
      <w:r w:rsidR="005757A5" w:rsidRPr="00BF1C21">
        <w:rPr>
          <w:rFonts w:ascii="HelveticaNeue" w:hAnsi="HelveticaNeue" w:cs="Segoe UI"/>
          <w:sz w:val="24"/>
          <w:szCs w:val="24"/>
          <w:shd w:val="clear" w:color="auto" w:fill="FFFFFF"/>
        </w:rPr>
        <w:t>66-18.68</w:t>
      </w:r>
      <w:r w:rsidR="003C1C89" w:rsidRPr="00BF1C21">
        <w:rPr>
          <w:rFonts w:ascii="HelveticaNeue" w:hAnsi="HelveticaNeue" w:cs="Segoe UI"/>
          <w:sz w:val="24"/>
          <w:szCs w:val="24"/>
          <w:shd w:val="clear" w:color="auto" w:fill="FFFFFF"/>
        </w:rPr>
        <w:t xml:space="preserve">), </w:t>
      </w:r>
      <w:r w:rsidRPr="00BF1C21">
        <w:rPr>
          <w:rFonts w:ascii="HelveticaNeue" w:hAnsi="HelveticaNeue" w:cs="Segoe UI"/>
          <w:sz w:val="24"/>
          <w:szCs w:val="24"/>
          <w:shd w:val="clear" w:color="auto" w:fill="FFFFFF"/>
        </w:rPr>
        <w:t>diastolic dysfunction</w:t>
      </w:r>
      <w:r w:rsidR="003C1C89" w:rsidRPr="00BF1C21">
        <w:rPr>
          <w:rFonts w:ascii="HelveticaNeue" w:hAnsi="HelveticaNeue" w:cs="Segoe UI"/>
          <w:sz w:val="24"/>
          <w:szCs w:val="24"/>
          <w:shd w:val="clear" w:color="auto" w:fill="FFFFFF"/>
        </w:rPr>
        <w:t xml:space="preserve"> (</w:t>
      </w:r>
      <w:r w:rsidR="005757A5" w:rsidRPr="00BF1C21">
        <w:rPr>
          <w:rFonts w:ascii="HelveticaNeue" w:hAnsi="HelveticaNeue" w:cs="Segoe UI"/>
          <w:sz w:val="24"/>
          <w:szCs w:val="24"/>
          <w:shd w:val="clear" w:color="auto" w:fill="FFFFFF"/>
        </w:rPr>
        <w:t>R</w:t>
      </w:r>
      <w:r w:rsidR="003C1C89" w:rsidRPr="00BF1C21">
        <w:rPr>
          <w:rFonts w:ascii="HelveticaNeue" w:hAnsi="HelveticaNeue" w:cs="Segoe UI"/>
          <w:sz w:val="24"/>
          <w:szCs w:val="24"/>
          <w:shd w:val="clear" w:color="auto" w:fill="FFFFFF"/>
        </w:rPr>
        <w:t xml:space="preserve">R </w:t>
      </w:r>
      <w:r w:rsidR="005757A5" w:rsidRPr="00BF1C21">
        <w:rPr>
          <w:rFonts w:ascii="HelveticaNeue" w:hAnsi="HelveticaNeue" w:cs="Segoe UI"/>
          <w:sz w:val="24"/>
          <w:szCs w:val="24"/>
          <w:shd w:val="clear" w:color="auto" w:fill="FFFFFF"/>
        </w:rPr>
        <w:t>6.78</w:t>
      </w:r>
      <w:r w:rsidR="003C1C89" w:rsidRPr="00BF1C21">
        <w:rPr>
          <w:rFonts w:ascii="HelveticaNeue" w:hAnsi="HelveticaNeue" w:cs="Segoe UI"/>
          <w:sz w:val="24"/>
          <w:szCs w:val="24"/>
          <w:shd w:val="clear" w:color="auto" w:fill="FFFFFF"/>
        </w:rPr>
        <w:t xml:space="preserve">, 95%CI </w:t>
      </w:r>
      <w:r w:rsidR="005757A5" w:rsidRPr="00BF1C21">
        <w:rPr>
          <w:rFonts w:ascii="HelveticaNeue" w:hAnsi="HelveticaNeue" w:cs="Segoe UI"/>
          <w:sz w:val="24"/>
          <w:szCs w:val="24"/>
          <w:shd w:val="clear" w:color="auto" w:fill="FFFFFF"/>
        </w:rPr>
        <w:t>2.1-21.57</w:t>
      </w:r>
      <w:r w:rsidR="003C1C89" w:rsidRPr="00BF1C21">
        <w:rPr>
          <w:rFonts w:ascii="HelveticaNeue" w:hAnsi="HelveticaNeue" w:cs="Segoe UI"/>
          <w:sz w:val="24"/>
          <w:szCs w:val="24"/>
          <w:shd w:val="clear" w:color="auto" w:fill="FFFFFF"/>
        </w:rPr>
        <w:t>)</w:t>
      </w:r>
      <w:r w:rsidR="002C5BA0" w:rsidRPr="00BF1C21">
        <w:rPr>
          <w:rFonts w:ascii="HelveticaNeue" w:hAnsi="HelveticaNeue" w:cs="Segoe UI"/>
          <w:sz w:val="24"/>
          <w:szCs w:val="24"/>
          <w:shd w:val="clear" w:color="auto" w:fill="FFFFFF"/>
        </w:rPr>
        <w:t xml:space="preserve">, </w:t>
      </w:r>
      <w:r w:rsidR="00B95F7F" w:rsidRPr="00BF1C21">
        <w:rPr>
          <w:rFonts w:ascii="HelveticaNeue" w:hAnsi="HelveticaNeue" w:cs="Segoe UI"/>
          <w:sz w:val="24"/>
          <w:szCs w:val="24"/>
          <w:shd w:val="clear" w:color="auto" w:fill="FFFFFF"/>
        </w:rPr>
        <w:t>non-ischemic cardiomyopathy (RR 13.36, CI 3.13-56.13)</w:t>
      </w:r>
      <w:r w:rsidR="00B719BE" w:rsidRPr="00BF1C21">
        <w:rPr>
          <w:rFonts w:ascii="HelveticaNeue" w:hAnsi="HelveticaNeue" w:cs="Segoe UI"/>
          <w:sz w:val="24"/>
          <w:szCs w:val="24"/>
          <w:shd w:val="clear" w:color="auto" w:fill="FFFFFF"/>
        </w:rPr>
        <w:t xml:space="preserve">, whereas </w:t>
      </w:r>
      <w:r w:rsidR="002C5BA0" w:rsidRPr="00BF1C21">
        <w:rPr>
          <w:rFonts w:ascii="HelveticaNeue" w:hAnsi="HelveticaNeue" w:cs="Segoe UI"/>
          <w:sz w:val="24"/>
          <w:szCs w:val="24"/>
          <w:shd w:val="clear" w:color="auto" w:fill="FFFFFF"/>
        </w:rPr>
        <w:t>elevated left atrial filling pressure</w:t>
      </w:r>
      <w:r w:rsidR="005422E9" w:rsidRPr="00BF1C21">
        <w:rPr>
          <w:rFonts w:ascii="HelveticaNeue" w:hAnsi="HelveticaNeue" w:cs="Segoe UI"/>
          <w:sz w:val="24"/>
          <w:szCs w:val="24"/>
          <w:shd w:val="clear" w:color="auto" w:fill="FFFFFF"/>
        </w:rPr>
        <w:t xml:space="preserve"> (LAFP)</w:t>
      </w:r>
      <w:r w:rsidR="005757A5" w:rsidRPr="00BF1C21">
        <w:rPr>
          <w:rFonts w:ascii="HelveticaNeue" w:hAnsi="HelveticaNeue" w:cs="Segoe UI"/>
          <w:sz w:val="24"/>
          <w:szCs w:val="24"/>
          <w:shd w:val="clear" w:color="auto" w:fill="FFFFFF"/>
        </w:rPr>
        <w:t xml:space="preserve"> w</w:t>
      </w:r>
      <w:r w:rsidR="00B719BE" w:rsidRPr="00BF1C21">
        <w:rPr>
          <w:rFonts w:ascii="HelveticaNeue" w:hAnsi="HelveticaNeue" w:cs="Segoe UI"/>
          <w:sz w:val="24"/>
          <w:szCs w:val="24"/>
          <w:shd w:val="clear" w:color="auto" w:fill="FFFFFF"/>
        </w:rPr>
        <w:t>as</w:t>
      </w:r>
      <w:r w:rsidR="005757A5" w:rsidRPr="00BF1C21">
        <w:rPr>
          <w:rFonts w:ascii="HelveticaNeue" w:hAnsi="HelveticaNeue" w:cs="Segoe UI"/>
          <w:sz w:val="24"/>
          <w:szCs w:val="24"/>
          <w:shd w:val="clear" w:color="auto" w:fill="FFFFFF"/>
        </w:rPr>
        <w:t xml:space="preserve"> marginally significant</w:t>
      </w:r>
      <w:r w:rsidR="002C5BA0" w:rsidRPr="00BF1C21">
        <w:rPr>
          <w:rFonts w:ascii="HelveticaNeue" w:hAnsi="HelveticaNeue" w:cs="Segoe UI"/>
          <w:sz w:val="24"/>
          <w:szCs w:val="24"/>
          <w:shd w:val="clear" w:color="auto" w:fill="FFFFFF"/>
        </w:rPr>
        <w:t xml:space="preserve"> (RR</w:t>
      </w:r>
      <w:r w:rsidR="005757A5" w:rsidRPr="00BF1C21">
        <w:rPr>
          <w:rFonts w:ascii="HelveticaNeue" w:hAnsi="HelveticaNeue" w:cs="Segoe UI"/>
          <w:sz w:val="24"/>
          <w:szCs w:val="24"/>
          <w:shd w:val="clear" w:color="auto" w:fill="FFFFFF"/>
        </w:rPr>
        <w:t xml:space="preserve"> 0.07</w:t>
      </w:r>
      <w:r w:rsidR="002C5BA0" w:rsidRPr="00BF1C21">
        <w:rPr>
          <w:rFonts w:ascii="HelveticaNeue" w:hAnsi="HelveticaNeue" w:cs="Segoe UI"/>
          <w:sz w:val="24"/>
          <w:szCs w:val="24"/>
          <w:shd w:val="clear" w:color="auto" w:fill="FFFFFF"/>
        </w:rPr>
        <w:t xml:space="preserve">, 95% CI </w:t>
      </w:r>
      <w:r w:rsidR="005757A5" w:rsidRPr="00BF1C21">
        <w:rPr>
          <w:rFonts w:ascii="HelveticaNeue" w:hAnsi="HelveticaNeue" w:cs="Segoe UI"/>
          <w:sz w:val="24"/>
          <w:szCs w:val="24"/>
          <w:shd w:val="clear" w:color="auto" w:fill="FFFFFF"/>
        </w:rPr>
        <w:t>0.92-6.</w:t>
      </w:r>
      <w:r w:rsidR="00517CF7" w:rsidRPr="00BF1C21">
        <w:rPr>
          <w:rFonts w:ascii="HelveticaNeue" w:hAnsi="HelveticaNeue" w:cs="Segoe UI"/>
          <w:sz w:val="24"/>
          <w:szCs w:val="24"/>
          <w:shd w:val="clear" w:color="auto" w:fill="FFFFFF"/>
        </w:rPr>
        <w:t>73) (</w:t>
      </w:r>
      <w:r w:rsidR="003C123E" w:rsidRPr="00BF1C21">
        <w:rPr>
          <w:rFonts w:ascii="HelveticaNeue" w:hAnsi="HelveticaNeue" w:cs="Segoe UI"/>
          <w:sz w:val="24"/>
          <w:szCs w:val="24"/>
          <w:shd w:val="clear" w:color="auto" w:fill="FFFFFF"/>
        </w:rPr>
        <w:t>Figure 1)</w:t>
      </w:r>
      <w:r w:rsidRPr="00BF1C21">
        <w:rPr>
          <w:rFonts w:ascii="HelveticaNeue" w:hAnsi="HelveticaNeue" w:cs="Segoe UI"/>
          <w:sz w:val="24"/>
          <w:szCs w:val="24"/>
          <w:shd w:val="clear" w:color="auto" w:fill="FFFFFF"/>
        </w:rPr>
        <w:t>.</w:t>
      </w:r>
    </w:p>
    <w:p w14:paraId="4F22607C" w14:textId="77777777" w:rsidR="008C0801" w:rsidRPr="00BF1C21" w:rsidRDefault="00FF101D" w:rsidP="00FF101D">
      <w:pPr>
        <w:rPr>
          <w:rFonts w:ascii="HelveticaNeue" w:eastAsia="Times New Roman" w:hAnsi="HelveticaNeue"/>
          <w:color w:val="000000"/>
          <w:sz w:val="24"/>
          <w:szCs w:val="24"/>
        </w:rPr>
      </w:pPr>
      <w:r w:rsidRPr="00BF1C21">
        <w:rPr>
          <w:rFonts w:ascii="HelveticaNeue" w:eastAsia="Times New Roman" w:hAnsi="HelveticaNeue"/>
          <w:color w:val="000000"/>
          <w:sz w:val="24"/>
          <w:szCs w:val="24"/>
        </w:rPr>
        <w:t>Conclusion</w:t>
      </w:r>
      <w:r w:rsidR="000A1383" w:rsidRPr="00BF1C21">
        <w:rPr>
          <w:rFonts w:ascii="HelveticaNeue" w:eastAsia="Times New Roman" w:hAnsi="HelveticaNeue"/>
          <w:color w:val="000000"/>
          <w:sz w:val="24"/>
          <w:szCs w:val="24"/>
        </w:rPr>
        <w:t>s</w:t>
      </w:r>
      <w:r w:rsidRPr="00BF1C21">
        <w:rPr>
          <w:rFonts w:ascii="HelveticaNeue" w:eastAsia="Times New Roman" w:hAnsi="HelveticaNeue"/>
          <w:color w:val="000000"/>
          <w:sz w:val="24"/>
          <w:szCs w:val="24"/>
        </w:rPr>
        <w:t>:</w:t>
      </w:r>
      <w:r w:rsidR="00A44101" w:rsidRPr="00BF1C21">
        <w:rPr>
          <w:rFonts w:ascii="HelveticaNeue" w:eastAsia="Times New Roman" w:hAnsi="HelveticaNeue"/>
          <w:color w:val="000000"/>
          <w:sz w:val="24"/>
          <w:szCs w:val="24"/>
        </w:rPr>
        <w:t xml:space="preserve"> </w:t>
      </w:r>
    </w:p>
    <w:p w14:paraId="10240B77" w14:textId="1D162053" w:rsidR="00FF101D" w:rsidRPr="00BF1C21" w:rsidRDefault="001F2AF8" w:rsidP="00D74024">
      <w:pPr>
        <w:jc w:val="both"/>
        <w:rPr>
          <w:rFonts w:ascii="HelveticaNeue" w:eastAsia="Times New Roman" w:hAnsi="HelveticaNeue"/>
          <w:color w:val="000000"/>
          <w:sz w:val="24"/>
          <w:szCs w:val="24"/>
        </w:rPr>
      </w:pPr>
      <w:r w:rsidRPr="00BF1C21">
        <w:rPr>
          <w:rFonts w:ascii="HelveticaNeue" w:eastAsia="Times New Roman" w:hAnsi="HelveticaNeue"/>
          <w:color w:val="000000"/>
          <w:sz w:val="24"/>
          <w:szCs w:val="24"/>
        </w:rPr>
        <w:t xml:space="preserve">Systolic dysfunction </w:t>
      </w:r>
      <w:r w:rsidR="00A44101" w:rsidRPr="00BF1C21">
        <w:rPr>
          <w:rFonts w:ascii="HelveticaNeue" w:eastAsia="Times New Roman" w:hAnsi="HelveticaNeue"/>
          <w:color w:val="000000"/>
          <w:sz w:val="24"/>
          <w:szCs w:val="24"/>
        </w:rPr>
        <w:t>is associated with</w:t>
      </w:r>
      <w:r w:rsidRPr="00BF1C21">
        <w:rPr>
          <w:rFonts w:ascii="HelveticaNeue" w:eastAsia="Times New Roman" w:hAnsi="HelveticaNeue"/>
          <w:color w:val="000000"/>
          <w:sz w:val="24"/>
          <w:szCs w:val="24"/>
        </w:rPr>
        <w:t xml:space="preserve"> 5.6 times higher risk of </w:t>
      </w:r>
      <w:r w:rsidR="00A44101" w:rsidRPr="00BF1C21">
        <w:rPr>
          <w:rFonts w:ascii="HelveticaNeue" w:eastAsia="Times New Roman" w:hAnsi="HelveticaNeue"/>
          <w:color w:val="000000"/>
          <w:sz w:val="24"/>
          <w:szCs w:val="24"/>
        </w:rPr>
        <w:t>PFO closure failure</w:t>
      </w:r>
      <w:r w:rsidRPr="00BF1C21">
        <w:rPr>
          <w:rFonts w:ascii="HelveticaNeue" w:eastAsia="Times New Roman" w:hAnsi="HelveticaNeue"/>
          <w:color w:val="000000"/>
          <w:sz w:val="24"/>
          <w:szCs w:val="24"/>
        </w:rPr>
        <w:t xml:space="preserve"> and diastolic dysfunction is associated with 6.8 times higher risk of PFO closure failure.</w:t>
      </w:r>
      <w:r w:rsidR="00F20408" w:rsidRPr="00BF1C21">
        <w:rPr>
          <w:rFonts w:ascii="HelveticaNeue" w:eastAsia="Times New Roman" w:hAnsi="HelveticaNeue"/>
          <w:color w:val="000000"/>
          <w:sz w:val="24"/>
          <w:szCs w:val="24"/>
        </w:rPr>
        <w:t xml:space="preserve"> Larger studies are needed to investigate further the significance of LAFP in association with PFO closure failure. </w:t>
      </w:r>
    </w:p>
    <w:p w14:paraId="767623D5" w14:textId="2D4998B1" w:rsidR="00F6294E" w:rsidRPr="00BF1C21" w:rsidRDefault="00F6294E" w:rsidP="00FF101D">
      <w:pPr>
        <w:rPr>
          <w:rFonts w:ascii="HelveticaNeue" w:eastAsia="Times New Roman" w:hAnsi="HelveticaNeue"/>
          <w:color w:val="000000"/>
          <w:sz w:val="24"/>
          <w:szCs w:val="24"/>
        </w:rPr>
      </w:pPr>
    </w:p>
    <w:p w14:paraId="22749774" w14:textId="77777777" w:rsidR="00F6294E" w:rsidRPr="00BF1C21" w:rsidRDefault="00F6294E" w:rsidP="00FF101D">
      <w:pPr>
        <w:rPr>
          <w:rFonts w:ascii="HelveticaNeue" w:eastAsia="Times New Roman" w:hAnsi="HelveticaNeue"/>
          <w:color w:val="000000"/>
          <w:sz w:val="24"/>
          <w:szCs w:val="24"/>
        </w:rPr>
      </w:pPr>
    </w:p>
    <w:p w14:paraId="6FBD268B" w14:textId="02CF937B" w:rsidR="00F6294E" w:rsidRPr="00BF1C21" w:rsidRDefault="00F6294E" w:rsidP="0053123F">
      <w:pPr>
        <w:jc w:val="center"/>
        <w:rPr>
          <w:rFonts w:ascii="HelveticaNeue" w:eastAsia="Times New Roman" w:hAnsi="HelveticaNeue"/>
          <w:color w:val="000000"/>
          <w:sz w:val="24"/>
          <w:szCs w:val="24"/>
        </w:rPr>
      </w:pPr>
      <w:r w:rsidRPr="00BF1C21">
        <w:rPr>
          <w:rFonts w:ascii="HelveticaNeue" w:eastAsia="Times New Roman" w:hAnsi="HelveticaNeue"/>
          <w:b/>
          <w:bCs/>
          <w:color w:val="000000"/>
          <w:sz w:val="24"/>
          <w:szCs w:val="24"/>
        </w:rPr>
        <w:t>Figure 1:</w:t>
      </w:r>
      <w:r w:rsidRPr="00BF1C21">
        <w:rPr>
          <w:rFonts w:ascii="HelveticaNeue" w:eastAsia="Times New Roman" w:hAnsi="HelveticaNeue"/>
          <w:color w:val="000000"/>
          <w:sz w:val="24"/>
          <w:szCs w:val="24"/>
        </w:rPr>
        <w:t xml:space="preserve"> </w:t>
      </w:r>
      <w:r w:rsidRPr="00BF1C21">
        <w:rPr>
          <w:rFonts w:ascii="Calibri" w:eastAsia="Times New Roman" w:hAnsi="Calibri" w:cs="Calibri"/>
          <w:color w:val="000000"/>
          <w:sz w:val="28"/>
          <w:szCs w:val="28"/>
        </w:rPr>
        <w:t xml:space="preserve">Univariates Survival Analyses: Cox </w:t>
      </w:r>
      <w:r w:rsidR="00A40871">
        <w:rPr>
          <w:rFonts w:ascii="Calibri" w:eastAsia="Times New Roman" w:hAnsi="Calibri" w:cs="Calibri"/>
          <w:color w:val="000000"/>
          <w:sz w:val="28"/>
          <w:szCs w:val="28"/>
        </w:rPr>
        <w:t>R</w:t>
      </w:r>
      <w:r w:rsidRPr="00BF1C21">
        <w:rPr>
          <w:rFonts w:ascii="Calibri" w:eastAsia="Times New Roman" w:hAnsi="Calibri" w:cs="Calibri"/>
          <w:color w:val="000000"/>
          <w:sz w:val="28"/>
          <w:szCs w:val="28"/>
        </w:rPr>
        <w:t xml:space="preserve">egression </w:t>
      </w:r>
      <w:r w:rsidR="00A40871">
        <w:rPr>
          <w:rFonts w:ascii="Calibri" w:eastAsia="Times New Roman" w:hAnsi="Calibri" w:cs="Calibri"/>
          <w:color w:val="000000"/>
          <w:sz w:val="28"/>
          <w:szCs w:val="28"/>
        </w:rPr>
        <w:t>M</w:t>
      </w:r>
      <w:r w:rsidRPr="00BF1C21">
        <w:rPr>
          <w:rFonts w:ascii="Calibri" w:eastAsia="Times New Roman" w:hAnsi="Calibri" w:cs="Calibri"/>
          <w:color w:val="000000"/>
          <w:sz w:val="28"/>
          <w:szCs w:val="28"/>
        </w:rPr>
        <w:t>odel</w:t>
      </w:r>
    </w:p>
    <w:tbl>
      <w:tblPr>
        <w:tblStyle w:val="GridTable2"/>
        <w:tblW w:w="9360" w:type="dxa"/>
        <w:tblLook w:val="04A0" w:firstRow="1" w:lastRow="0" w:firstColumn="1" w:lastColumn="0" w:noHBand="0" w:noVBand="1"/>
      </w:tblPr>
      <w:tblGrid>
        <w:gridCol w:w="3480"/>
        <w:gridCol w:w="1740"/>
        <w:gridCol w:w="2790"/>
        <w:gridCol w:w="1350"/>
      </w:tblGrid>
      <w:tr w:rsidR="004223D6" w:rsidRPr="00BF1C21" w14:paraId="6F052105" w14:textId="37B26470" w:rsidTr="00781C04">
        <w:trPr>
          <w:cnfStyle w:val="100000000000" w:firstRow="1" w:lastRow="0" w:firstColumn="0" w:lastColumn="0" w:oddVBand="0" w:evenVBand="0" w:oddHBand="0" w:evenHBand="0" w:firstRowFirstColumn="0" w:firstRowLastColumn="0" w:lastRowFirstColumn="0" w:lastRowLastColumn="0"/>
          <w:trHeight w:val="1586"/>
        </w:trPr>
        <w:tc>
          <w:tcPr>
            <w:cnfStyle w:val="001000000000" w:firstRow="0" w:lastRow="0" w:firstColumn="1" w:lastColumn="0" w:oddVBand="0" w:evenVBand="0" w:oddHBand="0" w:evenHBand="0" w:firstRowFirstColumn="0" w:firstRowLastColumn="0" w:lastRowFirstColumn="0" w:lastRowLastColumn="0"/>
            <w:tcW w:w="3480" w:type="dxa"/>
            <w:hideMark/>
          </w:tcPr>
          <w:p w14:paraId="23E89B01" w14:textId="77777777" w:rsidR="004223D6" w:rsidRPr="00BF1C21" w:rsidRDefault="004223D6" w:rsidP="004223D6">
            <w:pPr>
              <w:jc w:val="center"/>
              <w:rPr>
                <w:rFonts w:ascii="Arial" w:eastAsia="Times New Roman" w:hAnsi="Arial" w:cs="Arial"/>
                <w:color w:val="000000"/>
              </w:rPr>
            </w:pPr>
            <w:r w:rsidRPr="00BF1C21">
              <w:rPr>
                <w:rFonts w:ascii="Arial" w:eastAsia="Times New Roman" w:hAnsi="Arial" w:cs="Arial"/>
                <w:color w:val="000000"/>
              </w:rPr>
              <w:t>Predictor Variable</w:t>
            </w:r>
          </w:p>
        </w:tc>
        <w:tc>
          <w:tcPr>
            <w:tcW w:w="1740" w:type="dxa"/>
            <w:hideMark/>
          </w:tcPr>
          <w:p w14:paraId="33C8725A" w14:textId="5DE5476B" w:rsidR="004223D6" w:rsidRPr="00BF1C21" w:rsidRDefault="004223D6" w:rsidP="004223D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1C21">
              <w:rPr>
                <w:rFonts w:ascii="Arial" w:eastAsia="Times New Roman" w:hAnsi="Arial" w:cs="Arial"/>
                <w:color w:val="000000"/>
              </w:rPr>
              <w:t>Relative Risk (RR)</w:t>
            </w:r>
          </w:p>
        </w:tc>
        <w:tc>
          <w:tcPr>
            <w:tcW w:w="2790" w:type="dxa"/>
            <w:hideMark/>
          </w:tcPr>
          <w:p w14:paraId="2BD7A569" w14:textId="4411FC9A" w:rsidR="004223D6" w:rsidRPr="00BF1C21" w:rsidRDefault="004223D6" w:rsidP="004223D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1C21">
              <w:rPr>
                <w:rFonts w:ascii="Arial" w:eastAsia="Times New Roman" w:hAnsi="Arial" w:cs="Arial"/>
                <w:color w:val="000000"/>
              </w:rPr>
              <w:t>RR  95% Confidence Interval</w:t>
            </w:r>
          </w:p>
        </w:tc>
        <w:tc>
          <w:tcPr>
            <w:tcW w:w="1350" w:type="dxa"/>
          </w:tcPr>
          <w:p w14:paraId="606BBE18" w14:textId="6F08A9A8" w:rsidR="004223D6" w:rsidRPr="00BF1C21" w:rsidRDefault="004223D6" w:rsidP="004223D6">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1C21">
              <w:rPr>
                <w:rFonts w:ascii="Arial" w:eastAsia="Times New Roman" w:hAnsi="Arial" w:cs="Arial"/>
                <w:color w:val="000000"/>
              </w:rPr>
              <w:t>P-value</w:t>
            </w:r>
          </w:p>
        </w:tc>
      </w:tr>
      <w:tr w:rsidR="004223D6" w:rsidRPr="00BF1C21" w14:paraId="73701E3F" w14:textId="6A2EF326" w:rsidTr="00781C04">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480" w:type="dxa"/>
            <w:vAlign w:val="center"/>
            <w:hideMark/>
          </w:tcPr>
          <w:p w14:paraId="15A00483" w14:textId="4F561698" w:rsidR="004223D6" w:rsidRPr="00BF1C21" w:rsidRDefault="004223D6" w:rsidP="004223D6">
            <w:pPr>
              <w:jc w:val="center"/>
              <w:rPr>
                <w:rFonts w:ascii="Arial" w:eastAsia="Times New Roman" w:hAnsi="Arial" w:cs="Arial"/>
                <w:color w:val="000000"/>
              </w:rPr>
            </w:pPr>
            <w:r w:rsidRPr="00BF1C21">
              <w:rPr>
                <w:rFonts w:ascii="Arial" w:eastAsia="Times New Roman" w:hAnsi="Arial" w:cs="Arial"/>
                <w:color w:val="000000"/>
              </w:rPr>
              <w:t>Ischemic Cardiomyopathy</w:t>
            </w:r>
          </w:p>
        </w:tc>
        <w:tc>
          <w:tcPr>
            <w:tcW w:w="1740" w:type="dxa"/>
            <w:vAlign w:val="center"/>
            <w:hideMark/>
          </w:tcPr>
          <w:p w14:paraId="45EFC80F" w14:textId="2A28CC28" w:rsidR="004223D6" w:rsidRPr="00BF1C21" w:rsidRDefault="004223D6" w:rsidP="004223D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1C21">
              <w:rPr>
                <w:rFonts w:ascii="Arial" w:eastAsia="Times New Roman" w:hAnsi="Arial" w:cs="Arial"/>
                <w:color w:val="000000"/>
              </w:rPr>
              <w:t>2.32</w:t>
            </w:r>
          </w:p>
        </w:tc>
        <w:tc>
          <w:tcPr>
            <w:tcW w:w="2790" w:type="dxa"/>
            <w:noWrap/>
            <w:vAlign w:val="center"/>
            <w:hideMark/>
          </w:tcPr>
          <w:p w14:paraId="1ADAB0A8" w14:textId="323E7E61" w:rsidR="004223D6" w:rsidRPr="00BF1C21" w:rsidRDefault="004223D6" w:rsidP="004223D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p>
        </w:tc>
        <w:tc>
          <w:tcPr>
            <w:tcW w:w="1350" w:type="dxa"/>
            <w:vAlign w:val="center"/>
          </w:tcPr>
          <w:p w14:paraId="1F9FCD9A" w14:textId="3A61795C" w:rsidR="004223D6" w:rsidRPr="00BF1C21" w:rsidRDefault="004223D6" w:rsidP="004223D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rPr>
            </w:pPr>
            <w:r w:rsidRPr="00BF1C21">
              <w:rPr>
                <w:rFonts w:ascii="Arial" w:eastAsia="Times New Roman" w:hAnsi="Arial" w:cs="Arial"/>
                <w:color w:val="000000"/>
              </w:rPr>
              <w:t>0.2811</w:t>
            </w:r>
          </w:p>
        </w:tc>
      </w:tr>
      <w:tr w:rsidR="004223D6" w:rsidRPr="00BF1C21" w14:paraId="7D4D8A05" w14:textId="34048470" w:rsidTr="00781C04">
        <w:trPr>
          <w:trHeight w:val="329"/>
        </w:trPr>
        <w:tc>
          <w:tcPr>
            <w:cnfStyle w:val="001000000000" w:firstRow="0" w:lastRow="0" w:firstColumn="1" w:lastColumn="0" w:oddVBand="0" w:evenVBand="0" w:oddHBand="0" w:evenHBand="0" w:firstRowFirstColumn="0" w:firstRowLastColumn="0" w:lastRowFirstColumn="0" w:lastRowLastColumn="0"/>
            <w:tcW w:w="3480" w:type="dxa"/>
            <w:vAlign w:val="center"/>
            <w:hideMark/>
          </w:tcPr>
          <w:p w14:paraId="2F454508" w14:textId="636C69EB" w:rsidR="004223D6" w:rsidRPr="00BF1C21" w:rsidRDefault="004223D6" w:rsidP="004223D6">
            <w:pPr>
              <w:jc w:val="center"/>
              <w:rPr>
                <w:rFonts w:ascii="Arial" w:eastAsia="Times New Roman" w:hAnsi="Arial" w:cs="Arial"/>
                <w:color w:val="000000"/>
              </w:rPr>
            </w:pPr>
            <w:r w:rsidRPr="00BF1C21">
              <w:rPr>
                <w:rFonts w:ascii="Arial" w:eastAsia="Times New Roman" w:hAnsi="Arial" w:cs="Arial"/>
                <w:color w:val="000000"/>
              </w:rPr>
              <w:t>Non-ischemic Cardiomyopathy</w:t>
            </w:r>
          </w:p>
        </w:tc>
        <w:tc>
          <w:tcPr>
            <w:tcW w:w="1740" w:type="dxa"/>
            <w:vAlign w:val="center"/>
            <w:hideMark/>
          </w:tcPr>
          <w:p w14:paraId="6591DA27" w14:textId="7A2CE382" w:rsidR="004223D6" w:rsidRPr="00BF1C21" w:rsidRDefault="004223D6" w:rsidP="004223D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BF1C21">
              <w:rPr>
                <w:rFonts w:ascii="Arial" w:eastAsia="Times New Roman" w:hAnsi="Arial" w:cs="Arial"/>
                <w:b/>
                <w:bCs/>
                <w:color w:val="000000"/>
              </w:rPr>
              <w:t>13.36</w:t>
            </w:r>
          </w:p>
        </w:tc>
        <w:tc>
          <w:tcPr>
            <w:tcW w:w="2790" w:type="dxa"/>
            <w:noWrap/>
            <w:vAlign w:val="center"/>
            <w:hideMark/>
          </w:tcPr>
          <w:p w14:paraId="276B0115" w14:textId="42EC9582" w:rsidR="004223D6" w:rsidRPr="00BF1C21" w:rsidRDefault="004223D6" w:rsidP="004223D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BF1C21">
              <w:rPr>
                <w:rFonts w:ascii="Arial" w:eastAsia="Times New Roman" w:hAnsi="Arial" w:cs="Arial"/>
                <w:b/>
                <w:bCs/>
                <w:color w:val="000000"/>
              </w:rPr>
              <w:t>3.13-56.13</w:t>
            </w:r>
          </w:p>
        </w:tc>
        <w:tc>
          <w:tcPr>
            <w:tcW w:w="1350" w:type="dxa"/>
            <w:vAlign w:val="center"/>
          </w:tcPr>
          <w:p w14:paraId="6F1A2B92" w14:textId="4879847B" w:rsidR="004223D6" w:rsidRPr="00BF1C21" w:rsidRDefault="004223D6" w:rsidP="004223D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BF1C21">
              <w:rPr>
                <w:rFonts w:ascii="Arial" w:eastAsia="Times New Roman" w:hAnsi="Arial" w:cs="Arial"/>
                <w:b/>
                <w:bCs/>
                <w:color w:val="000000"/>
              </w:rPr>
              <w:t>0.0004</w:t>
            </w:r>
          </w:p>
        </w:tc>
      </w:tr>
      <w:tr w:rsidR="004223D6" w:rsidRPr="00BF1C21" w14:paraId="0E9BD6CD" w14:textId="6E22AAA6" w:rsidTr="00781C04">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480" w:type="dxa"/>
            <w:noWrap/>
            <w:vAlign w:val="center"/>
            <w:hideMark/>
          </w:tcPr>
          <w:p w14:paraId="4A8075ED" w14:textId="6BC06E43" w:rsidR="004223D6" w:rsidRPr="00BF1C21" w:rsidRDefault="004223D6" w:rsidP="004223D6">
            <w:pPr>
              <w:jc w:val="center"/>
              <w:rPr>
                <w:rFonts w:ascii="Arial" w:eastAsia="Times New Roman" w:hAnsi="Arial" w:cs="Arial"/>
                <w:color w:val="000000"/>
              </w:rPr>
            </w:pPr>
            <w:r w:rsidRPr="00BF1C21">
              <w:rPr>
                <w:rFonts w:ascii="Arial" w:eastAsia="Times New Roman" w:hAnsi="Arial" w:cs="Arial"/>
                <w:color w:val="000000"/>
              </w:rPr>
              <w:t>Systolic Dysfunction</w:t>
            </w:r>
          </w:p>
        </w:tc>
        <w:tc>
          <w:tcPr>
            <w:tcW w:w="1740" w:type="dxa"/>
            <w:vAlign w:val="center"/>
            <w:hideMark/>
          </w:tcPr>
          <w:p w14:paraId="4353F560" w14:textId="50359BB4" w:rsidR="004223D6" w:rsidRPr="00BF1C21" w:rsidRDefault="004223D6" w:rsidP="004223D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F1C21">
              <w:rPr>
                <w:rFonts w:ascii="Arial" w:eastAsia="Times New Roman" w:hAnsi="Arial" w:cs="Arial"/>
                <w:b/>
                <w:bCs/>
                <w:color w:val="000000"/>
              </w:rPr>
              <w:t>5.61</w:t>
            </w:r>
          </w:p>
        </w:tc>
        <w:tc>
          <w:tcPr>
            <w:tcW w:w="2790" w:type="dxa"/>
            <w:noWrap/>
            <w:vAlign w:val="center"/>
            <w:hideMark/>
          </w:tcPr>
          <w:p w14:paraId="06F92BBC" w14:textId="4D9A9E7A" w:rsidR="004223D6" w:rsidRPr="00BF1C21" w:rsidRDefault="004223D6" w:rsidP="004223D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F1C21">
              <w:rPr>
                <w:rFonts w:ascii="Arial" w:eastAsia="Times New Roman" w:hAnsi="Arial" w:cs="Arial"/>
                <w:b/>
                <w:bCs/>
                <w:color w:val="000000"/>
              </w:rPr>
              <w:t>1.66-18.68</w:t>
            </w:r>
          </w:p>
        </w:tc>
        <w:tc>
          <w:tcPr>
            <w:tcW w:w="1350" w:type="dxa"/>
            <w:vAlign w:val="center"/>
          </w:tcPr>
          <w:p w14:paraId="23AB96A1" w14:textId="78DC3627" w:rsidR="004223D6" w:rsidRPr="00BF1C21" w:rsidRDefault="004223D6" w:rsidP="004223D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F1C21">
              <w:rPr>
                <w:rFonts w:ascii="Arial" w:eastAsia="Times New Roman" w:hAnsi="Arial" w:cs="Arial"/>
                <w:b/>
                <w:bCs/>
                <w:color w:val="000000"/>
              </w:rPr>
              <w:t>0.0052</w:t>
            </w:r>
          </w:p>
        </w:tc>
      </w:tr>
      <w:tr w:rsidR="004223D6" w:rsidRPr="00BF1C21" w14:paraId="1CA4EBAD" w14:textId="3875487E" w:rsidTr="00781C04">
        <w:trPr>
          <w:trHeight w:val="329"/>
        </w:trPr>
        <w:tc>
          <w:tcPr>
            <w:cnfStyle w:val="001000000000" w:firstRow="0" w:lastRow="0" w:firstColumn="1" w:lastColumn="0" w:oddVBand="0" w:evenVBand="0" w:oddHBand="0" w:evenHBand="0" w:firstRowFirstColumn="0" w:firstRowLastColumn="0" w:lastRowFirstColumn="0" w:lastRowLastColumn="0"/>
            <w:tcW w:w="3480" w:type="dxa"/>
            <w:noWrap/>
            <w:vAlign w:val="center"/>
            <w:hideMark/>
          </w:tcPr>
          <w:p w14:paraId="61F77F25" w14:textId="530882C8" w:rsidR="004223D6" w:rsidRPr="00BF1C21" w:rsidRDefault="004223D6" w:rsidP="004223D6">
            <w:pPr>
              <w:jc w:val="center"/>
              <w:rPr>
                <w:rFonts w:ascii="Arial" w:eastAsia="Times New Roman" w:hAnsi="Arial" w:cs="Arial"/>
                <w:color w:val="000000"/>
              </w:rPr>
            </w:pPr>
            <w:r w:rsidRPr="00BF1C21">
              <w:rPr>
                <w:rFonts w:ascii="Arial" w:eastAsia="Times New Roman" w:hAnsi="Arial" w:cs="Arial"/>
                <w:color w:val="000000"/>
              </w:rPr>
              <w:t>Right Ventricular Dilatation</w:t>
            </w:r>
          </w:p>
        </w:tc>
        <w:tc>
          <w:tcPr>
            <w:tcW w:w="1740" w:type="dxa"/>
            <w:vAlign w:val="center"/>
            <w:hideMark/>
          </w:tcPr>
          <w:p w14:paraId="021287F6" w14:textId="33A32920" w:rsidR="004223D6" w:rsidRPr="00BF1C21" w:rsidRDefault="004223D6" w:rsidP="004223D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1C21">
              <w:rPr>
                <w:rFonts w:ascii="Arial" w:eastAsia="Times New Roman" w:hAnsi="Arial" w:cs="Arial"/>
                <w:color w:val="000000"/>
              </w:rPr>
              <w:t>1.65</w:t>
            </w:r>
          </w:p>
        </w:tc>
        <w:tc>
          <w:tcPr>
            <w:tcW w:w="2790" w:type="dxa"/>
            <w:noWrap/>
            <w:vAlign w:val="center"/>
            <w:hideMark/>
          </w:tcPr>
          <w:p w14:paraId="1BF69B05" w14:textId="22831081" w:rsidR="004223D6" w:rsidRPr="00BF1C21" w:rsidRDefault="004223D6" w:rsidP="004223D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p>
        </w:tc>
        <w:tc>
          <w:tcPr>
            <w:tcW w:w="1350" w:type="dxa"/>
            <w:vAlign w:val="center"/>
          </w:tcPr>
          <w:p w14:paraId="1EC720F3" w14:textId="33165D58" w:rsidR="004223D6" w:rsidRPr="00BF1C21" w:rsidRDefault="004223D6" w:rsidP="004223D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BF1C21">
              <w:rPr>
                <w:rFonts w:ascii="Arial" w:eastAsia="Times New Roman" w:hAnsi="Arial" w:cs="Arial"/>
                <w:color w:val="000000"/>
              </w:rPr>
              <w:t>0.3310</w:t>
            </w:r>
          </w:p>
        </w:tc>
      </w:tr>
      <w:tr w:rsidR="004223D6" w:rsidRPr="00BF1C21" w14:paraId="3C643623" w14:textId="502E4BEF" w:rsidTr="00781C04">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3480" w:type="dxa"/>
            <w:noWrap/>
            <w:vAlign w:val="center"/>
            <w:hideMark/>
          </w:tcPr>
          <w:p w14:paraId="2C0F09A9" w14:textId="73BAD848" w:rsidR="004223D6" w:rsidRPr="00BF1C21" w:rsidRDefault="004223D6" w:rsidP="004223D6">
            <w:pPr>
              <w:jc w:val="center"/>
              <w:rPr>
                <w:rFonts w:ascii="Arial" w:eastAsia="Times New Roman" w:hAnsi="Arial" w:cs="Arial"/>
                <w:color w:val="000000"/>
              </w:rPr>
            </w:pPr>
            <w:r w:rsidRPr="00BF1C21">
              <w:rPr>
                <w:rFonts w:ascii="Arial" w:eastAsia="Times New Roman" w:hAnsi="Arial" w:cs="Arial"/>
                <w:color w:val="000000"/>
              </w:rPr>
              <w:t>Diastolic Dysfunction</w:t>
            </w:r>
          </w:p>
        </w:tc>
        <w:tc>
          <w:tcPr>
            <w:tcW w:w="1740" w:type="dxa"/>
            <w:vAlign w:val="center"/>
            <w:hideMark/>
          </w:tcPr>
          <w:p w14:paraId="097A639F" w14:textId="7528D167" w:rsidR="004223D6" w:rsidRPr="00BF1C21" w:rsidRDefault="004223D6" w:rsidP="004223D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F1C21">
              <w:rPr>
                <w:rFonts w:ascii="Arial" w:eastAsia="Times New Roman" w:hAnsi="Arial" w:cs="Arial"/>
                <w:b/>
                <w:bCs/>
                <w:color w:val="000000"/>
              </w:rPr>
              <w:t>6.78</w:t>
            </w:r>
          </w:p>
        </w:tc>
        <w:tc>
          <w:tcPr>
            <w:tcW w:w="2790" w:type="dxa"/>
            <w:noWrap/>
            <w:vAlign w:val="center"/>
            <w:hideMark/>
          </w:tcPr>
          <w:p w14:paraId="374C71A6" w14:textId="06808EFF" w:rsidR="004223D6" w:rsidRPr="00BF1C21" w:rsidRDefault="004223D6" w:rsidP="004223D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F1C21">
              <w:rPr>
                <w:rFonts w:ascii="Arial" w:eastAsia="Times New Roman" w:hAnsi="Arial" w:cs="Arial"/>
                <w:b/>
                <w:bCs/>
                <w:color w:val="000000"/>
              </w:rPr>
              <w:t>2.11-21.57</w:t>
            </w:r>
          </w:p>
        </w:tc>
        <w:tc>
          <w:tcPr>
            <w:tcW w:w="1350" w:type="dxa"/>
            <w:vAlign w:val="center"/>
          </w:tcPr>
          <w:p w14:paraId="7ABC0F0F" w14:textId="7C07D773" w:rsidR="004223D6" w:rsidRPr="00BF1C21" w:rsidRDefault="004223D6" w:rsidP="004223D6">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rPr>
            </w:pPr>
            <w:r w:rsidRPr="00BF1C21">
              <w:rPr>
                <w:rFonts w:ascii="Arial" w:eastAsia="Times New Roman" w:hAnsi="Arial" w:cs="Arial"/>
                <w:b/>
                <w:bCs/>
                <w:color w:val="000000"/>
              </w:rPr>
              <w:t>0.0013</w:t>
            </w:r>
          </w:p>
        </w:tc>
      </w:tr>
      <w:tr w:rsidR="004223D6" w:rsidRPr="00BF1C21" w14:paraId="595F52B3" w14:textId="3D81DFFA" w:rsidTr="00781C04">
        <w:trPr>
          <w:trHeight w:val="329"/>
        </w:trPr>
        <w:tc>
          <w:tcPr>
            <w:cnfStyle w:val="001000000000" w:firstRow="0" w:lastRow="0" w:firstColumn="1" w:lastColumn="0" w:oddVBand="0" w:evenVBand="0" w:oddHBand="0" w:evenHBand="0" w:firstRowFirstColumn="0" w:firstRowLastColumn="0" w:lastRowFirstColumn="0" w:lastRowLastColumn="0"/>
            <w:tcW w:w="3480" w:type="dxa"/>
            <w:vAlign w:val="center"/>
            <w:hideMark/>
          </w:tcPr>
          <w:p w14:paraId="61009794" w14:textId="4CF9C024" w:rsidR="004223D6" w:rsidRPr="00BF1C21" w:rsidRDefault="004223D6" w:rsidP="004223D6">
            <w:pPr>
              <w:jc w:val="center"/>
              <w:rPr>
                <w:rFonts w:ascii="Arial" w:eastAsia="Times New Roman" w:hAnsi="Arial" w:cs="Arial"/>
                <w:color w:val="000000"/>
              </w:rPr>
            </w:pPr>
            <w:r w:rsidRPr="00BF1C21">
              <w:rPr>
                <w:rFonts w:ascii="Arial" w:eastAsia="Times New Roman" w:hAnsi="Arial" w:cs="Arial"/>
                <w:color w:val="000000"/>
              </w:rPr>
              <w:t>LAFP</w:t>
            </w:r>
          </w:p>
        </w:tc>
        <w:tc>
          <w:tcPr>
            <w:tcW w:w="1740" w:type="dxa"/>
            <w:vAlign w:val="center"/>
            <w:hideMark/>
          </w:tcPr>
          <w:p w14:paraId="6A39ECA8" w14:textId="77777777" w:rsidR="004223D6" w:rsidRPr="00BF1C21" w:rsidRDefault="004223D6" w:rsidP="004223D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BF1C21">
              <w:rPr>
                <w:rFonts w:ascii="Arial" w:eastAsia="Times New Roman" w:hAnsi="Arial" w:cs="Arial"/>
                <w:b/>
                <w:bCs/>
                <w:color w:val="000000"/>
              </w:rPr>
              <w:t>2.49</w:t>
            </w:r>
          </w:p>
        </w:tc>
        <w:tc>
          <w:tcPr>
            <w:tcW w:w="2790" w:type="dxa"/>
            <w:noWrap/>
            <w:vAlign w:val="center"/>
            <w:hideMark/>
          </w:tcPr>
          <w:p w14:paraId="4B38C5CB" w14:textId="18A25F94" w:rsidR="004223D6" w:rsidRPr="00BF1C21" w:rsidRDefault="004223D6" w:rsidP="004223D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BF1C21">
              <w:rPr>
                <w:rFonts w:ascii="Arial" w:eastAsia="Times New Roman" w:hAnsi="Arial" w:cs="Arial"/>
                <w:b/>
                <w:bCs/>
                <w:color w:val="000000"/>
              </w:rPr>
              <w:t>0.92-6.73</w:t>
            </w:r>
          </w:p>
        </w:tc>
        <w:tc>
          <w:tcPr>
            <w:tcW w:w="1350" w:type="dxa"/>
            <w:vAlign w:val="center"/>
          </w:tcPr>
          <w:p w14:paraId="31E697B4" w14:textId="53E158DA" w:rsidR="004223D6" w:rsidRPr="00BF1C21" w:rsidRDefault="004223D6" w:rsidP="004223D6">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rPr>
            </w:pPr>
            <w:r w:rsidRPr="00BF1C21">
              <w:rPr>
                <w:rFonts w:ascii="Arial" w:eastAsia="Times New Roman" w:hAnsi="Arial" w:cs="Arial"/>
                <w:b/>
                <w:bCs/>
                <w:color w:val="000000"/>
              </w:rPr>
              <w:t>0.0726</w:t>
            </w:r>
          </w:p>
        </w:tc>
      </w:tr>
    </w:tbl>
    <w:p w14:paraId="4F63FA5C" w14:textId="142DB8ED" w:rsidR="00F6294E" w:rsidRPr="00BF1C21" w:rsidRDefault="00F6294E" w:rsidP="00FF101D">
      <w:pPr>
        <w:rPr>
          <w:rFonts w:ascii="HelveticaNeue" w:eastAsia="Times New Roman" w:hAnsi="HelveticaNeue"/>
          <w:color w:val="000000"/>
          <w:sz w:val="24"/>
          <w:szCs w:val="24"/>
        </w:rPr>
      </w:pPr>
    </w:p>
    <w:p w14:paraId="5290469D" w14:textId="1C341B4E" w:rsidR="00F32667" w:rsidRPr="00BF1C21" w:rsidRDefault="00F32667" w:rsidP="00CA7766">
      <w:pPr>
        <w:rPr>
          <w:rFonts w:ascii="HelveticaNeue" w:eastAsia="Times New Roman" w:hAnsi="HelveticaNeue"/>
          <w:color w:val="000000"/>
          <w:sz w:val="20"/>
          <w:szCs w:val="20"/>
        </w:rPr>
      </w:pPr>
      <w:r w:rsidRPr="00BF1C21">
        <w:rPr>
          <w:rFonts w:ascii="HelveticaNeue" w:eastAsia="Times New Roman" w:hAnsi="HelveticaNeue"/>
          <w:color w:val="000000"/>
          <w:sz w:val="20"/>
          <w:szCs w:val="20"/>
        </w:rPr>
        <w:t>* When two or more levels are shown for a particular categorical predictor variable, that means that each of</w:t>
      </w:r>
      <w:r w:rsidRPr="00BF1C21">
        <w:rPr>
          <w:rFonts w:ascii="HelveticaNeue" w:hAnsi="HelveticaNeue"/>
          <w:sz w:val="20"/>
          <w:szCs w:val="20"/>
        </w:rPr>
        <w:t xml:space="preserve"> </w:t>
      </w:r>
      <w:r w:rsidRPr="00BF1C21">
        <w:rPr>
          <w:rFonts w:ascii="HelveticaNeue" w:eastAsia="Times New Roman" w:hAnsi="HelveticaNeue"/>
          <w:color w:val="000000"/>
          <w:sz w:val="20"/>
          <w:szCs w:val="20"/>
        </w:rPr>
        <w:t>these levels is compared with the reference, which is normally the lowest level, 0 or 1.</w:t>
      </w:r>
    </w:p>
    <w:p w14:paraId="391C1977" w14:textId="16085129" w:rsidR="00F32667" w:rsidRPr="00BF1C21" w:rsidRDefault="00F32667" w:rsidP="00CA7766">
      <w:pPr>
        <w:rPr>
          <w:rFonts w:ascii="HelveticaNeue" w:eastAsia="Times New Roman" w:hAnsi="HelveticaNeue"/>
          <w:color w:val="000000"/>
          <w:sz w:val="20"/>
          <w:szCs w:val="20"/>
        </w:rPr>
      </w:pPr>
      <w:r w:rsidRPr="00BF1C21">
        <w:rPr>
          <w:rFonts w:ascii="HelveticaNeue" w:eastAsia="Times New Roman" w:hAnsi="HelveticaNeue"/>
          <w:color w:val="000000"/>
          <w:sz w:val="20"/>
          <w:szCs w:val="20"/>
        </w:rPr>
        <w:t xml:space="preserve">** P-values &lt; 0.05 (statistically significant) are highlighted in red, 0.05 </w:t>
      </w:r>
      <w:r w:rsidRPr="00BF1C21">
        <w:rPr>
          <w:rFonts w:ascii="Arial" w:eastAsia="Times New Roman" w:hAnsi="Arial" w:cs="Arial"/>
          <w:color w:val="000000"/>
          <w:sz w:val="20"/>
          <w:szCs w:val="20"/>
        </w:rPr>
        <w:t>≤</w:t>
      </w:r>
      <w:r w:rsidRPr="00BF1C21">
        <w:rPr>
          <w:rFonts w:ascii="HelveticaNeue" w:eastAsia="Times New Roman" w:hAnsi="HelveticaNeue"/>
          <w:color w:val="000000"/>
          <w:sz w:val="20"/>
          <w:szCs w:val="20"/>
        </w:rPr>
        <w:t xml:space="preserve"> P-value &lt; 0.10 are in blue. 95%</w:t>
      </w:r>
      <w:r w:rsidR="00CA7766">
        <w:rPr>
          <w:rFonts w:ascii="HelveticaNeue" w:eastAsia="Times New Roman" w:hAnsi="HelveticaNeue"/>
          <w:color w:val="000000"/>
          <w:sz w:val="20"/>
          <w:szCs w:val="20"/>
        </w:rPr>
        <w:t xml:space="preserve"> </w:t>
      </w:r>
      <w:r w:rsidRPr="00BF1C21">
        <w:rPr>
          <w:rFonts w:ascii="HelveticaNeue" w:eastAsia="Times New Roman" w:hAnsi="HelveticaNeue"/>
          <w:color w:val="000000"/>
          <w:sz w:val="20"/>
          <w:szCs w:val="20"/>
        </w:rPr>
        <w:t>C</w:t>
      </w:r>
      <w:r w:rsidR="00C2369C">
        <w:rPr>
          <w:rFonts w:ascii="HelveticaNeue" w:eastAsia="Times New Roman" w:hAnsi="HelveticaNeue"/>
          <w:color w:val="000000"/>
          <w:sz w:val="20"/>
          <w:szCs w:val="20"/>
        </w:rPr>
        <w:t xml:space="preserve">I </w:t>
      </w:r>
      <w:r w:rsidRPr="00BF1C21">
        <w:rPr>
          <w:rFonts w:ascii="HelveticaNeue" w:eastAsia="Times New Roman" w:hAnsi="HelveticaNeue"/>
          <w:color w:val="000000"/>
          <w:sz w:val="20"/>
          <w:szCs w:val="20"/>
        </w:rPr>
        <w:t>is for RR are shown only for the statistically significant predictor variables.</w:t>
      </w:r>
    </w:p>
    <w:p w14:paraId="7950376A" w14:textId="575C7977" w:rsidR="00F32667" w:rsidRDefault="00F32667" w:rsidP="00FF101D">
      <w:pPr>
        <w:rPr>
          <w:rFonts w:ascii="HelveticaNeue" w:eastAsia="Times New Roman" w:hAnsi="HelveticaNeue"/>
          <w:color w:val="000000"/>
          <w:sz w:val="24"/>
          <w:szCs w:val="24"/>
        </w:rPr>
      </w:pPr>
    </w:p>
    <w:p w14:paraId="11ACB1F0" w14:textId="77777777" w:rsidR="007A7C00" w:rsidRPr="00BF1C21" w:rsidRDefault="007A7C00" w:rsidP="00FF101D">
      <w:pPr>
        <w:rPr>
          <w:rFonts w:ascii="HelveticaNeue" w:eastAsia="Times New Roman" w:hAnsi="HelveticaNeue"/>
          <w:color w:val="000000"/>
          <w:sz w:val="24"/>
          <w:szCs w:val="24"/>
        </w:rPr>
      </w:pPr>
    </w:p>
    <w:p w14:paraId="4D528C66" w14:textId="5D0CCBA1" w:rsidR="00F00200" w:rsidRPr="00BF1C21" w:rsidRDefault="00F00200" w:rsidP="00FF101D">
      <w:pPr>
        <w:rPr>
          <w:rFonts w:ascii="HelveticaNeue" w:eastAsia="Times New Roman" w:hAnsi="HelveticaNeue"/>
          <w:color w:val="000000"/>
          <w:sz w:val="24"/>
          <w:szCs w:val="24"/>
        </w:rPr>
      </w:pPr>
      <w:r w:rsidRPr="00BF1C21">
        <w:rPr>
          <w:rFonts w:ascii="HelveticaNeue" w:eastAsia="Times New Roman" w:hAnsi="HelveticaNeue"/>
          <w:color w:val="000000"/>
          <w:sz w:val="24"/>
          <w:szCs w:val="24"/>
        </w:rPr>
        <w:t>References:</w:t>
      </w:r>
    </w:p>
    <w:p w14:paraId="5FBE5826" w14:textId="5E56901D" w:rsidR="000C0B26" w:rsidRPr="007A7C00" w:rsidRDefault="00FD47BB" w:rsidP="001F017E">
      <w:pPr>
        <w:pStyle w:val="NormalWeb"/>
        <w:numPr>
          <w:ilvl w:val="0"/>
          <w:numId w:val="1"/>
        </w:numPr>
        <w:rPr>
          <w:rFonts w:ascii="HelveticaNeue" w:hAnsi="HelveticaNeue"/>
          <w:color w:val="000000"/>
          <w:sz w:val="22"/>
          <w:szCs w:val="22"/>
        </w:rPr>
      </w:pPr>
      <w:r w:rsidRPr="007A7C00">
        <w:rPr>
          <w:rFonts w:ascii="HelveticaNeue" w:hAnsi="HelveticaNeue" w:cs="Segoe UI"/>
          <w:sz w:val="22"/>
          <w:szCs w:val="22"/>
          <w:shd w:val="clear" w:color="auto" w:fill="FFFFFF"/>
        </w:rPr>
        <w:t xml:space="preserve">Goldman L, Caldera DL, Nussbaum SR, Southwick FS, Krogstad D, Murray B, Burke DS, O'Malley TA, Goroll AH, Caplan CH, Nolan J, Carabello B, Slater EE. Multifactorial index of cardiac risk in noncardiac surgical procedures. </w:t>
      </w:r>
      <w:r w:rsidRPr="007A7C00">
        <w:rPr>
          <w:rFonts w:ascii="HelveticaNeue" w:hAnsi="HelveticaNeue" w:cs="Segoe UI"/>
          <w:i/>
          <w:iCs/>
          <w:sz w:val="22"/>
          <w:szCs w:val="22"/>
          <w:shd w:val="clear" w:color="auto" w:fill="FFFFFF"/>
        </w:rPr>
        <w:t>N Engl J Med</w:t>
      </w:r>
      <w:r w:rsidRPr="007A7C00">
        <w:rPr>
          <w:rFonts w:ascii="HelveticaNeue" w:hAnsi="HelveticaNeue" w:cs="Segoe UI"/>
          <w:sz w:val="22"/>
          <w:szCs w:val="22"/>
          <w:shd w:val="clear" w:color="auto" w:fill="FFFFFF"/>
        </w:rPr>
        <w:t>. 1977 Oct 20;297(16):845-50</w:t>
      </w:r>
      <w:r w:rsidR="000C0B26" w:rsidRPr="007A7C00">
        <w:rPr>
          <w:rFonts w:ascii="HelveticaNeue" w:hAnsi="HelveticaNeue"/>
          <w:sz w:val="22"/>
          <w:szCs w:val="22"/>
        </w:rPr>
        <w:t>.</w:t>
      </w:r>
    </w:p>
    <w:p w14:paraId="7CC1510C" w14:textId="46D08344" w:rsidR="001F017E" w:rsidRPr="007A7C00" w:rsidRDefault="00077925" w:rsidP="001F017E">
      <w:pPr>
        <w:pStyle w:val="NormalWeb"/>
        <w:numPr>
          <w:ilvl w:val="0"/>
          <w:numId w:val="1"/>
        </w:numPr>
        <w:rPr>
          <w:rFonts w:ascii="HelveticaNeue" w:hAnsi="HelveticaNeue"/>
          <w:color w:val="000000"/>
          <w:sz w:val="22"/>
          <w:szCs w:val="22"/>
        </w:rPr>
      </w:pPr>
      <w:r w:rsidRPr="007A7C00">
        <w:rPr>
          <w:rFonts w:ascii="HelveticaNeue" w:hAnsi="HelveticaNeue"/>
          <w:color w:val="000000"/>
          <w:sz w:val="22"/>
          <w:szCs w:val="22"/>
        </w:rPr>
        <w:t xml:space="preserve">Bernhard Meier. Closure of patent foramen ovale: technique, pitfalls, complications, and follow up. </w:t>
      </w:r>
      <w:r w:rsidRPr="007A7C00">
        <w:rPr>
          <w:rFonts w:ascii="HelveticaNeue" w:hAnsi="HelveticaNeue"/>
          <w:i/>
          <w:iCs/>
          <w:color w:val="000000"/>
          <w:sz w:val="22"/>
          <w:szCs w:val="22"/>
        </w:rPr>
        <w:t>Heart</w:t>
      </w:r>
      <w:r w:rsidRPr="007A7C00">
        <w:rPr>
          <w:rFonts w:ascii="HelveticaNeue" w:hAnsi="HelveticaNeue"/>
          <w:color w:val="000000"/>
          <w:sz w:val="22"/>
          <w:szCs w:val="22"/>
        </w:rPr>
        <w:t>. 2005 Apr; 91(4):444-448.</w:t>
      </w:r>
    </w:p>
    <w:p w14:paraId="2853EF50" w14:textId="02629398" w:rsidR="00077925" w:rsidRPr="007A7C00" w:rsidRDefault="00077925" w:rsidP="001F017E">
      <w:pPr>
        <w:pStyle w:val="NormalWeb"/>
        <w:numPr>
          <w:ilvl w:val="0"/>
          <w:numId w:val="1"/>
        </w:numPr>
        <w:rPr>
          <w:rFonts w:ascii="HelveticaNeue" w:hAnsi="HelveticaNeue"/>
          <w:sz w:val="22"/>
          <w:szCs w:val="22"/>
        </w:rPr>
      </w:pPr>
      <w:r w:rsidRPr="007A7C00">
        <w:rPr>
          <w:rFonts w:ascii="HelveticaNeue" w:hAnsi="HelveticaNeue"/>
          <w:color w:val="000000"/>
          <w:sz w:val="22"/>
          <w:szCs w:val="22"/>
        </w:rPr>
        <w:t xml:space="preserve">Achille Gaspardone et al. Predictors of residual right to left shunt after percutaneous suture-mediated patent foramen ovalis closure. </w:t>
      </w:r>
      <w:r w:rsidRPr="007A7C00">
        <w:rPr>
          <w:rFonts w:ascii="HelveticaNeue" w:hAnsi="HelveticaNeue"/>
          <w:i/>
          <w:iCs/>
          <w:color w:val="000000"/>
          <w:sz w:val="22"/>
          <w:szCs w:val="22"/>
        </w:rPr>
        <w:t>JACC</w:t>
      </w:r>
      <w:r w:rsidRPr="007A7C00">
        <w:rPr>
          <w:rFonts w:ascii="HelveticaNeue" w:hAnsi="HelveticaNeue"/>
          <w:color w:val="000000"/>
          <w:sz w:val="22"/>
          <w:szCs w:val="22"/>
        </w:rPr>
        <w:t xml:space="preserve"> Vol 13. No 18. 2020.</w:t>
      </w:r>
    </w:p>
    <w:p w14:paraId="1AC4D6FB" w14:textId="4F3866A7" w:rsidR="00923C93" w:rsidRPr="007A7C00" w:rsidRDefault="00923C93" w:rsidP="001F017E">
      <w:pPr>
        <w:pStyle w:val="NormalWeb"/>
        <w:numPr>
          <w:ilvl w:val="0"/>
          <w:numId w:val="1"/>
        </w:numPr>
        <w:rPr>
          <w:rFonts w:ascii="HelveticaNeue" w:hAnsi="HelveticaNeue"/>
          <w:color w:val="000000"/>
          <w:sz w:val="22"/>
          <w:szCs w:val="22"/>
        </w:rPr>
      </w:pPr>
      <w:r w:rsidRPr="007A7C00">
        <w:rPr>
          <w:rFonts w:ascii="HelveticaNeue" w:hAnsi="HelveticaNeue"/>
          <w:sz w:val="22"/>
          <w:szCs w:val="22"/>
        </w:rPr>
        <w:t>Deng et al</w:t>
      </w:r>
      <w:r w:rsidR="00571C98" w:rsidRPr="007A7C00">
        <w:rPr>
          <w:rFonts w:ascii="HelveticaNeue" w:hAnsi="HelveticaNeue"/>
          <w:sz w:val="22"/>
          <w:szCs w:val="22"/>
        </w:rPr>
        <w:t xml:space="preserve">. </w:t>
      </w:r>
      <w:r w:rsidR="00571C98" w:rsidRPr="007A7C00">
        <w:rPr>
          <w:rFonts w:ascii="HelveticaNeue" w:hAnsi="HelveticaNeue" w:cs="Open Sans"/>
          <w:sz w:val="22"/>
          <w:szCs w:val="22"/>
          <w:shd w:val="clear" w:color="auto" w:fill="FFFFFF"/>
        </w:rPr>
        <w:t>Residual Shunt After Patent Foramen Ovale Closure and Long-Term Stroke Recurrence: A Prospective Cohort Study.</w:t>
      </w:r>
      <w:r w:rsidR="00571C98" w:rsidRPr="007A7C00">
        <w:rPr>
          <w:rFonts w:ascii="HelveticaNeue" w:hAnsi="HelveticaNeue" w:cs="Open Sans"/>
          <w:sz w:val="22"/>
          <w:szCs w:val="22"/>
          <w:u w:val="single"/>
          <w:shd w:val="clear" w:color="auto" w:fill="FFFFFF"/>
        </w:rPr>
        <w:t> </w:t>
      </w:r>
      <w:r w:rsidR="00571C98" w:rsidRPr="007A7C00">
        <w:rPr>
          <w:rStyle w:val="Emphasis"/>
          <w:rFonts w:ascii="HelveticaNeue" w:hAnsi="HelveticaNeue" w:cs="Open Sans"/>
          <w:sz w:val="22"/>
          <w:szCs w:val="22"/>
          <w:shd w:val="clear" w:color="auto" w:fill="FFFFFF"/>
        </w:rPr>
        <w:t>Ann Intern Med</w:t>
      </w:r>
      <w:r w:rsidR="00571C98" w:rsidRPr="007A7C00">
        <w:rPr>
          <w:rFonts w:ascii="HelveticaNeue" w:hAnsi="HelveticaNeue" w:cs="Open Sans"/>
          <w:sz w:val="22"/>
          <w:szCs w:val="22"/>
          <w:shd w:val="clear" w:color="auto" w:fill="FFFFFF"/>
        </w:rPr>
        <w:t> </w:t>
      </w:r>
      <w:r w:rsidR="0024077D" w:rsidRPr="007A7C00">
        <w:rPr>
          <w:rFonts w:ascii="HelveticaNeue" w:hAnsi="HelveticaNeue" w:cs="Open Sans"/>
          <w:sz w:val="22"/>
          <w:szCs w:val="22"/>
          <w:shd w:val="clear" w:color="auto" w:fill="FFFFFF"/>
        </w:rPr>
        <w:t>2020; 172:717</w:t>
      </w:r>
      <w:r w:rsidR="00571C98" w:rsidRPr="007A7C00">
        <w:rPr>
          <w:rFonts w:ascii="HelveticaNeue" w:hAnsi="HelveticaNeue" w:cs="Open Sans"/>
          <w:sz w:val="22"/>
          <w:szCs w:val="22"/>
          <w:shd w:val="clear" w:color="auto" w:fill="FFFFFF"/>
        </w:rPr>
        <w:t>-725.</w:t>
      </w:r>
    </w:p>
    <w:p w14:paraId="4EECD640" w14:textId="77777777" w:rsidR="00077925" w:rsidRPr="00BF1C21" w:rsidRDefault="00077925" w:rsidP="00FF101D">
      <w:pPr>
        <w:rPr>
          <w:rFonts w:ascii="HelveticaNeue" w:eastAsia="Times New Roman" w:hAnsi="HelveticaNeue"/>
          <w:color w:val="000000"/>
          <w:sz w:val="24"/>
          <w:szCs w:val="24"/>
        </w:rPr>
      </w:pPr>
    </w:p>
    <w:p w14:paraId="6DA7D394" w14:textId="5FE628DD" w:rsidR="007C242D" w:rsidRPr="00BF1C21" w:rsidRDefault="007C242D" w:rsidP="00FF101D">
      <w:pPr>
        <w:rPr>
          <w:rFonts w:ascii="HelveticaNeue" w:eastAsia="Times New Roman" w:hAnsi="HelveticaNeue"/>
          <w:color w:val="000000"/>
          <w:sz w:val="24"/>
          <w:szCs w:val="24"/>
        </w:rPr>
      </w:pPr>
    </w:p>
    <w:p w14:paraId="1BBA9CE6" w14:textId="35F72E66" w:rsidR="007C242D" w:rsidRPr="00BF1C21" w:rsidRDefault="007C242D" w:rsidP="00FF101D">
      <w:pPr>
        <w:rPr>
          <w:rFonts w:ascii="HelveticaNeue" w:eastAsia="Times New Roman" w:hAnsi="HelveticaNeue"/>
          <w:color w:val="000000"/>
          <w:sz w:val="24"/>
          <w:szCs w:val="24"/>
        </w:rPr>
      </w:pPr>
    </w:p>
    <w:p w14:paraId="52F4550F" w14:textId="36A6722B" w:rsidR="00AF3A1F" w:rsidRDefault="007C242D">
      <w:pPr>
        <w:rPr>
          <w:rFonts w:ascii="HelveticaNeue" w:hAnsi="HelveticaNeue"/>
          <w:sz w:val="24"/>
          <w:szCs w:val="24"/>
        </w:rPr>
      </w:pPr>
      <w:r w:rsidRPr="00BF1C21">
        <w:rPr>
          <w:rFonts w:ascii="HelveticaNeue" w:hAnsi="HelveticaNeue"/>
          <w:noProof/>
          <w:sz w:val="24"/>
          <w:szCs w:val="24"/>
        </w:rPr>
        <mc:AlternateContent>
          <mc:Choice Requires="aink">
            <w:drawing>
              <wp:anchor distT="0" distB="0" distL="114300" distR="114300" simplePos="0" relativeHeight="251660288" behindDoc="0" locked="0" layoutInCell="1" allowOverlap="1" wp14:anchorId="192635A4" wp14:editId="2DC0BAD6">
                <wp:simplePos x="0" y="0"/>
                <wp:positionH relativeFrom="column">
                  <wp:posOffset>3324765</wp:posOffset>
                </wp:positionH>
                <wp:positionV relativeFrom="paragraph">
                  <wp:posOffset>256805</wp:posOffset>
                </wp:positionV>
                <wp:extent cx="27720" cy="20160"/>
                <wp:effectExtent l="57150" t="38100" r="48895" b="56515"/>
                <wp:wrapNone/>
                <wp:docPr id="12" name="Ink 12"/>
                <wp:cNvGraphicFramePr/>
                <a:graphic xmlns:a="http://schemas.openxmlformats.org/drawingml/2006/main">
                  <a:graphicData uri="http://schemas.microsoft.com/office/word/2010/wordprocessingInk">
                    <w14:contentPart bwMode="auto" r:id="rId5">
                      <w14:nvContentPartPr>
                        <w14:cNvContentPartPr/>
                      </w14:nvContentPartPr>
                      <w14:xfrm>
                        <a:off x="0" y="0"/>
                        <a:ext cx="27720" cy="20160"/>
                      </w14:xfrm>
                    </w14:contentPart>
                  </a:graphicData>
                </a:graphic>
              </wp:anchor>
            </w:drawing>
          </mc:Choice>
          <mc:Fallback>
            <w:drawing>
              <wp:anchor distT="0" distB="0" distL="114300" distR="114300" simplePos="0" relativeHeight="251660288" behindDoc="0" locked="0" layoutInCell="1" allowOverlap="1" wp14:anchorId="192635A4" wp14:editId="2DC0BAD6">
                <wp:simplePos x="0" y="0"/>
                <wp:positionH relativeFrom="column">
                  <wp:posOffset>3324765</wp:posOffset>
                </wp:positionH>
                <wp:positionV relativeFrom="paragraph">
                  <wp:posOffset>256805</wp:posOffset>
                </wp:positionV>
                <wp:extent cx="27720" cy="20160"/>
                <wp:effectExtent l="57150" t="38100" r="48895" b="56515"/>
                <wp:wrapNone/>
                <wp:docPr id="12" name="Ink 12"/>
                <wp:cNvGraphicFramePr/>
                <a:graphic xmlns:a="http://schemas.openxmlformats.org/drawingml/2006/main">
                  <a:graphicData uri="http://schemas.openxmlformats.org/drawingml/2006/picture">
                    <pic:pic xmlns:pic="http://schemas.openxmlformats.org/drawingml/2006/picture">
                      <pic:nvPicPr>
                        <pic:cNvPr id="12" name="Ink 12"/>
                        <pic:cNvPicPr/>
                      </pic:nvPicPr>
                      <pic:blipFill>
                        <a:blip r:embed="rId6"/>
                        <a:stretch>
                          <a:fillRect/>
                        </a:stretch>
                      </pic:blipFill>
                      <pic:spPr>
                        <a:xfrm>
                          <a:off x="0" y="0"/>
                          <a:ext cx="63360" cy="235800"/>
                        </a:xfrm>
                        <a:prstGeom prst="rect">
                          <a:avLst/>
                        </a:prstGeom>
                      </pic:spPr>
                    </pic:pic>
                  </a:graphicData>
                </a:graphic>
              </wp:anchor>
            </w:drawing>
          </mc:Fallback>
        </mc:AlternateContent>
      </w:r>
      <w:r w:rsidRPr="00BF1C21">
        <w:rPr>
          <w:rFonts w:ascii="HelveticaNeue" w:hAnsi="HelveticaNeue"/>
          <w:noProof/>
          <w:sz w:val="24"/>
          <w:szCs w:val="24"/>
        </w:rPr>
        <mc:AlternateContent>
          <mc:Choice Requires="aink">
            <w:drawing>
              <wp:anchor distT="0" distB="0" distL="114300" distR="114300" simplePos="0" relativeHeight="251659264" behindDoc="0" locked="0" layoutInCell="1" allowOverlap="1" wp14:anchorId="30E90AEB" wp14:editId="2B519803">
                <wp:simplePos x="0" y="0"/>
                <wp:positionH relativeFrom="column">
                  <wp:posOffset>3600165</wp:posOffset>
                </wp:positionH>
                <wp:positionV relativeFrom="paragraph">
                  <wp:posOffset>276605</wp:posOffset>
                </wp:positionV>
                <wp:extent cx="360" cy="360"/>
                <wp:effectExtent l="57150" t="38100" r="38100" b="57150"/>
                <wp:wrapNone/>
                <wp:docPr id="11" name="Ink 1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30E90AEB" wp14:editId="2B519803">
                <wp:simplePos x="0" y="0"/>
                <wp:positionH relativeFrom="column">
                  <wp:posOffset>3600165</wp:posOffset>
                </wp:positionH>
                <wp:positionV relativeFrom="paragraph">
                  <wp:posOffset>276605</wp:posOffset>
                </wp:positionV>
                <wp:extent cx="360" cy="360"/>
                <wp:effectExtent l="57150" t="38100" r="38100" b="571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8"/>
                        <a:stretch>
                          <a:fillRect/>
                        </a:stretch>
                      </pic:blipFill>
                      <pic:spPr>
                        <a:xfrm>
                          <a:off x="0" y="0"/>
                          <a:ext cx="36000" cy="216000"/>
                        </a:xfrm>
                        <a:prstGeom prst="rect">
                          <a:avLst/>
                        </a:prstGeom>
                      </pic:spPr>
                    </pic:pic>
                  </a:graphicData>
                </a:graphic>
              </wp:anchor>
            </w:drawing>
          </mc:Fallback>
        </mc:AlternateContent>
      </w:r>
    </w:p>
    <w:sectPr w:rsidR="00AF3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97518"/>
    <w:multiLevelType w:val="hybridMultilevel"/>
    <w:tmpl w:val="D390B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1D"/>
    <w:rsid w:val="00012D52"/>
    <w:rsid w:val="0003713F"/>
    <w:rsid w:val="00044302"/>
    <w:rsid w:val="000511DB"/>
    <w:rsid w:val="000534A2"/>
    <w:rsid w:val="0006203E"/>
    <w:rsid w:val="00077925"/>
    <w:rsid w:val="000A1383"/>
    <w:rsid w:val="000B2D54"/>
    <w:rsid w:val="000C0B26"/>
    <w:rsid w:val="000D0CB7"/>
    <w:rsid w:val="000E0126"/>
    <w:rsid w:val="000E491C"/>
    <w:rsid w:val="000E644A"/>
    <w:rsid w:val="0011530D"/>
    <w:rsid w:val="0012490C"/>
    <w:rsid w:val="00140D05"/>
    <w:rsid w:val="00141347"/>
    <w:rsid w:val="001458A8"/>
    <w:rsid w:val="001558DE"/>
    <w:rsid w:val="00174273"/>
    <w:rsid w:val="00190EE0"/>
    <w:rsid w:val="0019665A"/>
    <w:rsid w:val="001D5ACB"/>
    <w:rsid w:val="001F017E"/>
    <w:rsid w:val="001F27B2"/>
    <w:rsid w:val="001F2AF8"/>
    <w:rsid w:val="001F348C"/>
    <w:rsid w:val="0024077D"/>
    <w:rsid w:val="00241D73"/>
    <w:rsid w:val="00275FA3"/>
    <w:rsid w:val="00282639"/>
    <w:rsid w:val="002954B6"/>
    <w:rsid w:val="002C5BA0"/>
    <w:rsid w:val="002D104D"/>
    <w:rsid w:val="002D304C"/>
    <w:rsid w:val="002E3712"/>
    <w:rsid w:val="002F0DB8"/>
    <w:rsid w:val="00345302"/>
    <w:rsid w:val="003538CF"/>
    <w:rsid w:val="003C123E"/>
    <w:rsid w:val="003C1C89"/>
    <w:rsid w:val="003E6F87"/>
    <w:rsid w:val="003F3062"/>
    <w:rsid w:val="003F3942"/>
    <w:rsid w:val="0040283E"/>
    <w:rsid w:val="00407F97"/>
    <w:rsid w:val="00412E48"/>
    <w:rsid w:val="004223D6"/>
    <w:rsid w:val="004425E7"/>
    <w:rsid w:val="004634F7"/>
    <w:rsid w:val="004B08EC"/>
    <w:rsid w:val="004F6E90"/>
    <w:rsid w:val="00517CF7"/>
    <w:rsid w:val="0053123F"/>
    <w:rsid w:val="005422E9"/>
    <w:rsid w:val="00571C98"/>
    <w:rsid w:val="005757A5"/>
    <w:rsid w:val="00584A60"/>
    <w:rsid w:val="005A412B"/>
    <w:rsid w:val="005B02B2"/>
    <w:rsid w:val="006107AE"/>
    <w:rsid w:val="00610C6A"/>
    <w:rsid w:val="006229B3"/>
    <w:rsid w:val="00635D0B"/>
    <w:rsid w:val="00657253"/>
    <w:rsid w:val="006623C9"/>
    <w:rsid w:val="006C4E4D"/>
    <w:rsid w:val="00702AA6"/>
    <w:rsid w:val="007054E0"/>
    <w:rsid w:val="00772EAB"/>
    <w:rsid w:val="00781C04"/>
    <w:rsid w:val="007A0B5F"/>
    <w:rsid w:val="007A7415"/>
    <w:rsid w:val="007A7C00"/>
    <w:rsid w:val="007B368E"/>
    <w:rsid w:val="007C242D"/>
    <w:rsid w:val="007D38F0"/>
    <w:rsid w:val="00807C7D"/>
    <w:rsid w:val="00834A07"/>
    <w:rsid w:val="00840BB0"/>
    <w:rsid w:val="008434B7"/>
    <w:rsid w:val="0088660B"/>
    <w:rsid w:val="008A4D1D"/>
    <w:rsid w:val="008C0801"/>
    <w:rsid w:val="008E3797"/>
    <w:rsid w:val="008E68C5"/>
    <w:rsid w:val="00912E13"/>
    <w:rsid w:val="00923C93"/>
    <w:rsid w:val="009764A3"/>
    <w:rsid w:val="00A02197"/>
    <w:rsid w:val="00A40871"/>
    <w:rsid w:val="00A42A0C"/>
    <w:rsid w:val="00A44101"/>
    <w:rsid w:val="00AB1B4D"/>
    <w:rsid w:val="00B1058A"/>
    <w:rsid w:val="00B43B6B"/>
    <w:rsid w:val="00B52B5D"/>
    <w:rsid w:val="00B6689D"/>
    <w:rsid w:val="00B719BE"/>
    <w:rsid w:val="00B95F7F"/>
    <w:rsid w:val="00B96A19"/>
    <w:rsid w:val="00B96E3E"/>
    <w:rsid w:val="00BD2C82"/>
    <w:rsid w:val="00BE73B3"/>
    <w:rsid w:val="00BF1C21"/>
    <w:rsid w:val="00BF3574"/>
    <w:rsid w:val="00C222C8"/>
    <w:rsid w:val="00C2369C"/>
    <w:rsid w:val="00C410B3"/>
    <w:rsid w:val="00C53E77"/>
    <w:rsid w:val="00CA7766"/>
    <w:rsid w:val="00CD175C"/>
    <w:rsid w:val="00D115E8"/>
    <w:rsid w:val="00D672E0"/>
    <w:rsid w:val="00D74024"/>
    <w:rsid w:val="00D854BC"/>
    <w:rsid w:val="00DB6899"/>
    <w:rsid w:val="00E065A1"/>
    <w:rsid w:val="00E25495"/>
    <w:rsid w:val="00E6764A"/>
    <w:rsid w:val="00E960E3"/>
    <w:rsid w:val="00EA1FD1"/>
    <w:rsid w:val="00EF5AA2"/>
    <w:rsid w:val="00EF6329"/>
    <w:rsid w:val="00F00200"/>
    <w:rsid w:val="00F01713"/>
    <w:rsid w:val="00F05E4A"/>
    <w:rsid w:val="00F06709"/>
    <w:rsid w:val="00F126D2"/>
    <w:rsid w:val="00F200FE"/>
    <w:rsid w:val="00F20408"/>
    <w:rsid w:val="00F32667"/>
    <w:rsid w:val="00F6294E"/>
    <w:rsid w:val="00F763E0"/>
    <w:rsid w:val="00F935FC"/>
    <w:rsid w:val="00F942A0"/>
    <w:rsid w:val="00FA2802"/>
    <w:rsid w:val="00FA3BE1"/>
    <w:rsid w:val="00FA5BC9"/>
    <w:rsid w:val="00FB5465"/>
    <w:rsid w:val="00FC5023"/>
    <w:rsid w:val="00FD47BB"/>
    <w:rsid w:val="00FD7F6B"/>
    <w:rsid w:val="00FF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B4D45"/>
  <w15:chartTrackingRefBased/>
  <w15:docId w15:val="{50DB8F8C-8F64-4D8B-8362-225B2FF31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1D"/>
    <w:rPr>
      <w:rFonts w:eastAsiaTheme="minorEastAsia"/>
    </w:rPr>
  </w:style>
  <w:style w:type="paragraph" w:styleId="Heading1">
    <w:name w:val="heading 1"/>
    <w:basedOn w:val="Normal"/>
    <w:next w:val="Normal"/>
    <w:link w:val="Heading1Char"/>
    <w:uiPriority w:val="9"/>
    <w:qFormat/>
    <w:rsid w:val="00E25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49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77925"/>
    <w:pPr>
      <w:spacing w:before="100" w:beforeAutospacing="1" w:after="100" w:afterAutospacing="1" w:line="240" w:lineRule="auto"/>
    </w:pPr>
    <w:rPr>
      <w:rFonts w:ascii="Times New Roman" w:eastAsia="Times New Roman" w:hAnsi="Times New Roman" w:cs="Times New Roman"/>
      <w:sz w:val="24"/>
      <w:szCs w:val="24"/>
    </w:rPr>
  </w:style>
  <w:style w:type="table" w:styleId="GridTable1Light-Accent1">
    <w:name w:val="Grid Table 1 Light Accent 1"/>
    <w:basedOn w:val="TableNormal"/>
    <w:uiPriority w:val="46"/>
    <w:rsid w:val="00F6294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7Colorful-Accent1">
    <w:name w:val="List Table 7 Colorful Accent 1"/>
    <w:basedOn w:val="TableNormal"/>
    <w:uiPriority w:val="52"/>
    <w:rsid w:val="00DB689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6Colorful">
    <w:name w:val="Grid Table 6 Colorful"/>
    <w:basedOn w:val="TableNormal"/>
    <w:uiPriority w:val="51"/>
    <w:rsid w:val="00DB689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2954B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571C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19934">
      <w:bodyDiv w:val="1"/>
      <w:marLeft w:val="0"/>
      <w:marRight w:val="0"/>
      <w:marTop w:val="0"/>
      <w:marBottom w:val="0"/>
      <w:divBdr>
        <w:top w:val="none" w:sz="0" w:space="0" w:color="auto"/>
        <w:left w:val="none" w:sz="0" w:space="0" w:color="auto"/>
        <w:bottom w:val="none" w:sz="0" w:space="0" w:color="auto"/>
        <w:right w:val="none" w:sz="0" w:space="0" w:color="auto"/>
      </w:divBdr>
    </w:div>
    <w:div w:id="1037312593">
      <w:bodyDiv w:val="1"/>
      <w:marLeft w:val="0"/>
      <w:marRight w:val="0"/>
      <w:marTop w:val="0"/>
      <w:marBottom w:val="0"/>
      <w:divBdr>
        <w:top w:val="none" w:sz="0" w:space="0" w:color="auto"/>
        <w:left w:val="none" w:sz="0" w:space="0" w:color="auto"/>
        <w:bottom w:val="none" w:sz="0" w:space="0" w:color="auto"/>
        <w:right w:val="none" w:sz="0" w:space="0" w:color="auto"/>
      </w:divBdr>
    </w:div>
    <w:div w:id="1412002258">
      <w:bodyDiv w:val="1"/>
      <w:marLeft w:val="0"/>
      <w:marRight w:val="0"/>
      <w:marTop w:val="0"/>
      <w:marBottom w:val="0"/>
      <w:divBdr>
        <w:top w:val="none" w:sz="0" w:space="0" w:color="auto"/>
        <w:left w:val="none" w:sz="0" w:space="0" w:color="auto"/>
        <w:bottom w:val="none" w:sz="0" w:space="0" w:color="auto"/>
        <w:right w:val="none" w:sz="0" w:space="0" w:color="auto"/>
      </w:divBdr>
    </w:div>
    <w:div w:id="206163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15:10:03.82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77 55,'-4'0,"-7"-4,-1-7,-2 0,-5-4,3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8-16T15:09:55.72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Kristen N</dc:creator>
  <cp:keywords/>
  <dc:description/>
  <cp:lastModifiedBy>Kristen</cp:lastModifiedBy>
  <cp:revision>28</cp:revision>
  <dcterms:created xsi:type="dcterms:W3CDTF">2021-09-15T23:31:00Z</dcterms:created>
  <dcterms:modified xsi:type="dcterms:W3CDTF">2021-09-15T23:43:00Z</dcterms:modified>
</cp:coreProperties>
</file>