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8241" w14:textId="336584AE" w:rsidR="00141347" w:rsidRPr="000D0CB7" w:rsidRDefault="00847E27" w:rsidP="000D0CB7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VALVULAR REGURGITATION</w:t>
      </w:r>
      <w:r w:rsidR="0000345C">
        <w:rPr>
          <w:b/>
          <w:bCs/>
          <w:color w:val="000000"/>
          <w:sz w:val="36"/>
          <w:szCs w:val="36"/>
        </w:rPr>
        <w:t xml:space="preserve"> </w:t>
      </w:r>
      <w:r w:rsidR="00141347" w:rsidRPr="000D0CB7">
        <w:rPr>
          <w:b/>
          <w:bCs/>
          <w:color w:val="000000"/>
          <w:sz w:val="36"/>
          <w:szCs w:val="36"/>
        </w:rPr>
        <w:t>PREDICT</w:t>
      </w:r>
      <w:r>
        <w:rPr>
          <w:b/>
          <w:bCs/>
          <w:color w:val="000000"/>
          <w:sz w:val="36"/>
          <w:szCs w:val="36"/>
        </w:rPr>
        <w:t>S</w:t>
      </w:r>
      <w:r w:rsidR="0000345C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RESIDUAL SHUNT</w:t>
      </w:r>
      <w:r w:rsidR="00C4005A">
        <w:rPr>
          <w:b/>
          <w:bCs/>
          <w:color w:val="000000"/>
          <w:sz w:val="36"/>
          <w:szCs w:val="36"/>
        </w:rPr>
        <w:t xml:space="preserve"> FOLLOWING</w:t>
      </w:r>
      <w:r w:rsidR="00141347" w:rsidRPr="000D0CB7">
        <w:rPr>
          <w:b/>
          <w:bCs/>
          <w:color w:val="000000"/>
          <w:sz w:val="36"/>
          <w:szCs w:val="36"/>
        </w:rPr>
        <w:t xml:space="preserve"> </w:t>
      </w:r>
      <w:r w:rsidR="0000345C">
        <w:rPr>
          <w:b/>
          <w:bCs/>
          <w:color w:val="000000"/>
          <w:sz w:val="36"/>
          <w:szCs w:val="36"/>
        </w:rPr>
        <w:t>PERCUTANEOUS</w:t>
      </w:r>
      <w:r w:rsidR="00141347" w:rsidRPr="000D0CB7">
        <w:rPr>
          <w:b/>
          <w:bCs/>
          <w:color w:val="000000"/>
          <w:sz w:val="36"/>
          <w:szCs w:val="36"/>
        </w:rPr>
        <w:t xml:space="preserve"> PATENT FORAMEN OVALE CLOSURE </w:t>
      </w:r>
    </w:p>
    <w:p w14:paraId="4A2D6ACE" w14:textId="6791FA16" w:rsidR="002D304C" w:rsidRPr="00C54D93" w:rsidRDefault="002D304C" w:rsidP="00E25495">
      <w:pPr>
        <w:pStyle w:val="Heading1"/>
        <w:shd w:val="clear" w:color="auto" w:fill="FFFFFF"/>
        <w:spacing w:line="264" w:lineRule="atLeast"/>
        <w:jc w:val="center"/>
        <w:rPr>
          <w:rFonts w:ascii="HelveticaNeue" w:eastAsia="Times New Roman" w:hAnsi="HelveticaNeue" w:cs="Times New Roman"/>
          <w:color w:val="000000"/>
          <w:kern w:val="36"/>
          <w:sz w:val="22"/>
          <w:szCs w:val="22"/>
        </w:rPr>
      </w:pPr>
      <w:r w:rsidRPr="00C54D93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>Kristen N. Brown, MD,</w:t>
      </w:r>
      <w:r w:rsidR="0006203E" w:rsidRPr="00C54D93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 </w:t>
      </w:r>
      <w:r w:rsidR="0006203E" w:rsidRPr="00C54D93">
        <w:rPr>
          <w:rFonts w:ascii="HelveticaNeue" w:hAnsi="HelveticaNeue"/>
          <w:color w:val="000000"/>
          <w:sz w:val="22"/>
          <w:szCs w:val="22"/>
        </w:rPr>
        <w:t xml:space="preserve">Gleb </w:t>
      </w:r>
      <w:r w:rsidR="005651F5" w:rsidRPr="00C54D93">
        <w:rPr>
          <w:rFonts w:ascii="HelveticaNeue" w:hAnsi="HelveticaNeue"/>
          <w:color w:val="000000"/>
          <w:sz w:val="22"/>
          <w:szCs w:val="22"/>
        </w:rPr>
        <w:t xml:space="preserve">R. </w:t>
      </w:r>
      <w:r w:rsidR="0006203E" w:rsidRPr="00C54D93">
        <w:rPr>
          <w:rFonts w:ascii="HelveticaNeue" w:hAnsi="HelveticaNeue"/>
          <w:color w:val="000000"/>
          <w:sz w:val="22"/>
          <w:szCs w:val="22"/>
        </w:rPr>
        <w:t>Haynatzki, PhD, DSc,</w:t>
      </w:r>
      <w:r w:rsidRPr="00C54D93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 </w:t>
      </w:r>
      <w:r w:rsidR="001D5ACB" w:rsidRPr="00C54D93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and </w:t>
      </w:r>
      <w:r w:rsidRPr="00C54D93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Andrew </w:t>
      </w:r>
      <w:r w:rsidRPr="00C54D93">
        <w:rPr>
          <w:rFonts w:ascii="HelveticaNeue" w:hAnsi="HelveticaNeue" w:cstheme="minorHAnsi"/>
          <w:color w:val="201F1E"/>
          <w:sz w:val="22"/>
          <w:szCs w:val="22"/>
          <w:shd w:val="clear" w:color="auto" w:fill="FFFFFF"/>
        </w:rPr>
        <w:t xml:space="preserve">Goldsweig, </w:t>
      </w:r>
      <w:r w:rsidR="00E25495" w:rsidRPr="00C54D93">
        <w:rPr>
          <w:rFonts w:ascii="HelveticaNeue" w:eastAsia="Times New Roman" w:hAnsi="HelveticaNeue" w:cstheme="minorHAnsi"/>
          <w:color w:val="000000"/>
          <w:kern w:val="36"/>
          <w:sz w:val="22"/>
          <w:szCs w:val="22"/>
        </w:rPr>
        <w:t>MD, MS, FACC, FSCAI, FSVM, RPVI</w:t>
      </w:r>
    </w:p>
    <w:p w14:paraId="24929C7E" w14:textId="1982C7B1" w:rsidR="002D304C" w:rsidRPr="00C54D93" w:rsidRDefault="002D304C" w:rsidP="002D304C">
      <w:pPr>
        <w:spacing w:after="0" w:line="240" w:lineRule="auto"/>
        <w:jc w:val="center"/>
        <w:rPr>
          <w:rFonts w:ascii="HelveticaNeue" w:eastAsia="Times New Roman" w:hAnsi="HelveticaNeue"/>
          <w:color w:val="000000"/>
        </w:rPr>
      </w:pPr>
      <w:r w:rsidRPr="00C54D93">
        <w:rPr>
          <w:rFonts w:ascii="HelveticaNeue" w:hAnsi="HelveticaNeue" w:cs="Segoe UI"/>
          <w:color w:val="201F1E"/>
          <w:shd w:val="clear" w:color="auto" w:fill="FFFFFF"/>
        </w:rPr>
        <w:t xml:space="preserve">Division of Cardiovascular Disease </w:t>
      </w:r>
      <w:r w:rsidR="00F93F7C" w:rsidRPr="00C54D93">
        <w:rPr>
          <w:rFonts w:ascii="HelveticaNeue" w:hAnsi="HelveticaNeue"/>
          <w:color w:val="000000"/>
        </w:rPr>
        <w:t xml:space="preserve">and Biostatistics Department </w:t>
      </w:r>
      <w:r w:rsidRPr="00C54D93">
        <w:rPr>
          <w:rFonts w:ascii="HelveticaNeue" w:hAnsi="HelveticaNeue" w:cs="Segoe UI"/>
          <w:color w:val="201F1E"/>
          <w:shd w:val="clear" w:color="auto" w:fill="FFFFFF"/>
        </w:rPr>
        <w:t>at the University of Nebraska Medical Center</w:t>
      </w:r>
      <w:r w:rsidR="008434B7" w:rsidRPr="00C54D93">
        <w:rPr>
          <w:rFonts w:ascii="HelveticaNeue" w:hAnsi="HelveticaNeue" w:cs="Segoe UI"/>
          <w:color w:val="201F1E"/>
          <w:shd w:val="clear" w:color="auto" w:fill="FFFFFF"/>
        </w:rPr>
        <w:t>, Omaha, Nebraska</w:t>
      </w:r>
    </w:p>
    <w:p w14:paraId="6650C042" w14:textId="77777777" w:rsidR="0088660B" w:rsidRPr="002D304C" w:rsidRDefault="0088660B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31FB9181" w14:textId="2BC4427D" w:rsidR="00FF101D" w:rsidRPr="0063730D" w:rsidRDefault="003F3062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63730D">
        <w:rPr>
          <w:rFonts w:ascii="HelveticaNeue" w:eastAsia="Times New Roman" w:hAnsi="HelveticaNeue"/>
          <w:color w:val="000000"/>
          <w:sz w:val="24"/>
          <w:szCs w:val="24"/>
        </w:rPr>
        <w:t>Background</w:t>
      </w:r>
      <w:r w:rsidR="00FF101D" w:rsidRPr="0063730D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23378669" w14:textId="4AACAAB5" w:rsidR="000E644A" w:rsidRPr="0063730D" w:rsidRDefault="001854DB" w:rsidP="000E644A">
      <w:pPr>
        <w:jc w:val="both"/>
        <w:rPr>
          <w:rFonts w:ascii="HelveticaNeue" w:eastAsia="Times New Roman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  <w:sz w:val="24"/>
          <w:szCs w:val="24"/>
        </w:rPr>
        <w:t>Residual shunt is associated with increased risk of recurrent stroke.</w:t>
      </w:r>
      <w:r>
        <w:rPr>
          <w:rFonts w:ascii="HelveticaNeue" w:hAnsi="HelveticaNeue"/>
          <w:color w:val="000000"/>
          <w:sz w:val="24"/>
          <w:szCs w:val="24"/>
          <w:vertAlign w:val="superscript"/>
        </w:rPr>
        <w:t>1</w:t>
      </w:r>
      <w:r w:rsidRPr="00BF4EFF">
        <w:rPr>
          <w:rFonts w:ascii="HelveticaNeue" w:hAnsi="HelveticaNeue"/>
          <w:color w:val="000000"/>
          <w:sz w:val="24"/>
          <w:szCs w:val="24"/>
        </w:rPr>
        <w:t xml:space="preserve"> </w:t>
      </w:r>
      <w:r w:rsidR="00BF4EFF" w:rsidRPr="005B72F3">
        <w:rPr>
          <w:rFonts w:ascii="HelveticaNeue" w:hAnsi="HelveticaNeue" w:cs="Calibri"/>
          <w:color w:val="000000"/>
          <w:sz w:val="24"/>
          <w:szCs w:val="24"/>
          <w:shd w:val="clear" w:color="auto" w:fill="FFFFFF"/>
        </w:rPr>
        <w:t xml:space="preserve">Data </w:t>
      </w:r>
      <w:r w:rsidR="005B72F3">
        <w:rPr>
          <w:rFonts w:ascii="HelveticaNeue" w:hAnsi="HelveticaNeue" w:cs="Calibri"/>
          <w:color w:val="000000"/>
          <w:sz w:val="24"/>
          <w:szCs w:val="24"/>
          <w:shd w:val="clear" w:color="auto" w:fill="FFFFFF"/>
        </w:rPr>
        <w:t>is</w:t>
      </w:r>
      <w:r w:rsidR="00BF4EFF" w:rsidRPr="005B72F3">
        <w:rPr>
          <w:rFonts w:ascii="HelveticaNeue" w:hAnsi="HelveticaNeue" w:cs="Calibri"/>
          <w:color w:val="000000"/>
          <w:sz w:val="24"/>
          <w:szCs w:val="24"/>
          <w:shd w:val="clear" w:color="auto" w:fill="FFFFFF"/>
        </w:rPr>
        <w:t xml:space="preserve"> very limited regarding predictors of residual shunt following percutaneous patent foramen </w:t>
      </w:r>
      <w:proofErr w:type="spellStart"/>
      <w:r w:rsidR="00BF4EFF" w:rsidRPr="005B72F3">
        <w:rPr>
          <w:rFonts w:ascii="HelveticaNeue" w:hAnsi="HelveticaNeue" w:cs="Calibri"/>
          <w:color w:val="000000"/>
          <w:sz w:val="24"/>
          <w:szCs w:val="24"/>
          <w:shd w:val="clear" w:color="auto" w:fill="FFFFFF"/>
        </w:rPr>
        <w:t>ovale</w:t>
      </w:r>
      <w:proofErr w:type="spellEnd"/>
      <w:r w:rsidR="00BF4EFF" w:rsidRPr="005B72F3">
        <w:rPr>
          <w:rFonts w:ascii="HelveticaNeue" w:hAnsi="HelveticaNeue" w:cs="Calibri"/>
          <w:color w:val="000000"/>
          <w:sz w:val="24"/>
          <w:szCs w:val="24"/>
          <w:shd w:val="clear" w:color="auto" w:fill="FFFFFF"/>
        </w:rPr>
        <w:t xml:space="preserve"> (PFO) closure</w:t>
      </w:r>
      <w:r w:rsidR="000E644A" w:rsidRPr="00BF4EFF">
        <w:rPr>
          <w:rFonts w:ascii="HelveticaNeue" w:hAnsi="HelveticaNeue"/>
          <w:color w:val="000000"/>
          <w:sz w:val="24"/>
          <w:szCs w:val="24"/>
        </w:rPr>
        <w:t>.</w:t>
      </w:r>
      <w:r w:rsidRPr="005B72F3">
        <w:rPr>
          <w:rFonts w:ascii="HelveticaNeue" w:hAnsi="HelveticaNeue"/>
          <w:color w:val="000000"/>
          <w:sz w:val="24"/>
          <w:szCs w:val="24"/>
          <w:vertAlign w:val="superscript"/>
        </w:rPr>
        <w:t>2</w:t>
      </w:r>
      <w:r w:rsidR="001B4B7C" w:rsidRPr="005B72F3">
        <w:rPr>
          <w:rFonts w:ascii="HelveticaNeue" w:hAnsi="HelveticaNeue"/>
          <w:color w:val="000000"/>
          <w:sz w:val="24"/>
          <w:szCs w:val="24"/>
          <w:vertAlign w:val="superscript"/>
        </w:rPr>
        <w:t>-</w:t>
      </w:r>
      <w:r w:rsidRPr="005B72F3">
        <w:rPr>
          <w:rFonts w:ascii="HelveticaNeue" w:hAnsi="HelveticaNeue"/>
          <w:color w:val="000000"/>
          <w:sz w:val="24"/>
          <w:szCs w:val="24"/>
          <w:vertAlign w:val="superscript"/>
        </w:rPr>
        <w:t>5</w:t>
      </w:r>
      <w:r w:rsidR="000E644A" w:rsidRPr="0063730D">
        <w:rPr>
          <w:rFonts w:ascii="HelveticaNeue" w:hAnsi="HelveticaNeue"/>
          <w:color w:val="000000"/>
          <w:sz w:val="24"/>
          <w:szCs w:val="24"/>
        </w:rPr>
        <w:t xml:space="preserve"> This study aims to identify </w:t>
      </w:r>
      <w:r w:rsidR="0001237F" w:rsidRPr="0063730D">
        <w:rPr>
          <w:rFonts w:ascii="HelveticaNeue" w:hAnsi="HelveticaNeue"/>
          <w:color w:val="000000"/>
          <w:sz w:val="24"/>
          <w:szCs w:val="24"/>
        </w:rPr>
        <w:t>any valvular abnormalities which may</w:t>
      </w:r>
      <w:r w:rsidR="000E644A" w:rsidRPr="0063730D">
        <w:rPr>
          <w:rFonts w:ascii="HelveticaNeue" w:hAnsi="HelveticaNeue"/>
          <w:color w:val="000000"/>
          <w:sz w:val="24"/>
          <w:szCs w:val="24"/>
        </w:rPr>
        <w:t xml:space="preserve"> predict</w:t>
      </w:r>
      <w:r w:rsidR="005F7843">
        <w:rPr>
          <w:rFonts w:ascii="HelveticaNeue" w:hAnsi="HelveticaNeue"/>
          <w:color w:val="000000"/>
          <w:sz w:val="24"/>
          <w:szCs w:val="24"/>
        </w:rPr>
        <w:t xml:space="preserve"> residual shunt following</w:t>
      </w:r>
      <w:r w:rsidR="000E644A" w:rsidRPr="0063730D">
        <w:rPr>
          <w:rFonts w:ascii="HelveticaNeue" w:hAnsi="HelveticaNeue"/>
          <w:color w:val="000000"/>
          <w:sz w:val="24"/>
          <w:szCs w:val="24"/>
        </w:rPr>
        <w:t xml:space="preserve"> PFO closure</w:t>
      </w:r>
      <w:r w:rsidR="0001237F" w:rsidRPr="0063730D">
        <w:rPr>
          <w:rFonts w:ascii="HelveticaNeue" w:hAnsi="HelveticaNeue"/>
          <w:color w:val="000000"/>
          <w:sz w:val="24"/>
          <w:szCs w:val="24"/>
        </w:rPr>
        <w:t xml:space="preserve"> on </w:t>
      </w:r>
      <w:r w:rsidR="00127765" w:rsidRPr="0063730D">
        <w:rPr>
          <w:rFonts w:ascii="HelveticaNeue" w:hAnsi="HelveticaNeue"/>
          <w:color w:val="000000"/>
          <w:sz w:val="24"/>
          <w:szCs w:val="24"/>
        </w:rPr>
        <w:t>preprocedural</w:t>
      </w:r>
      <w:r w:rsidR="000E644A" w:rsidRPr="0063730D">
        <w:rPr>
          <w:rFonts w:ascii="HelveticaNeue" w:hAnsi="HelveticaNeue"/>
          <w:color w:val="000000"/>
          <w:sz w:val="24"/>
          <w:szCs w:val="24"/>
        </w:rPr>
        <w:t xml:space="preserve"> echocardiogram. </w:t>
      </w:r>
    </w:p>
    <w:p w14:paraId="60C901E5" w14:textId="07F05C86" w:rsidR="00FF101D" w:rsidRPr="0063730D" w:rsidRDefault="003F3062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63730D">
        <w:rPr>
          <w:rFonts w:ascii="HelveticaNeue" w:eastAsia="Times New Roman" w:hAnsi="HelveticaNeue"/>
          <w:color w:val="000000"/>
          <w:sz w:val="24"/>
          <w:szCs w:val="24"/>
        </w:rPr>
        <w:t>Methods</w:t>
      </w:r>
      <w:r w:rsidR="00FF101D" w:rsidRPr="0063730D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2B1A3B0D" w14:textId="0B531698" w:rsidR="000E644A" w:rsidRPr="0063730D" w:rsidRDefault="000E644A" w:rsidP="000E644A">
      <w:pPr>
        <w:jc w:val="both"/>
        <w:rPr>
          <w:rFonts w:ascii="HelveticaNeue" w:eastAsia="Times New Roman" w:hAnsi="HelveticaNeue"/>
          <w:sz w:val="24"/>
          <w:szCs w:val="24"/>
        </w:rPr>
      </w:pPr>
      <w:r w:rsidRPr="0063730D">
        <w:rPr>
          <w:rFonts w:ascii="HelveticaNeue" w:hAnsi="HelveticaNeue"/>
          <w:color w:val="000000"/>
          <w:sz w:val="24"/>
          <w:szCs w:val="24"/>
        </w:rPr>
        <w:t>Single-center retrospective analysis of</w:t>
      </w:r>
      <w:r w:rsidR="0001237F" w:rsidRPr="0063730D">
        <w:rPr>
          <w:rFonts w:ascii="HelveticaNeue" w:hAnsi="HelveticaNeue"/>
          <w:color w:val="000000"/>
          <w:sz w:val="24"/>
          <w:szCs w:val="24"/>
        </w:rPr>
        <w:t xml:space="preserve"> 1</w:t>
      </w:r>
      <w:r w:rsidR="00B44B0C" w:rsidRPr="0063730D">
        <w:rPr>
          <w:rFonts w:ascii="HelveticaNeue" w:hAnsi="HelveticaNeue"/>
          <w:color w:val="000000"/>
          <w:sz w:val="24"/>
          <w:szCs w:val="24"/>
        </w:rPr>
        <w:t>37</w:t>
      </w:r>
      <w:r w:rsidR="0001237F" w:rsidRPr="0063730D">
        <w:rPr>
          <w:rFonts w:ascii="HelveticaNeue" w:hAnsi="HelveticaNeue"/>
          <w:color w:val="000000"/>
          <w:sz w:val="24"/>
          <w:szCs w:val="24"/>
        </w:rPr>
        <w:t xml:space="preserve"> patien</w:t>
      </w:r>
      <w:r w:rsidR="00B44B0C" w:rsidRPr="0063730D">
        <w:rPr>
          <w:rFonts w:ascii="HelveticaNeue" w:hAnsi="HelveticaNeue"/>
          <w:color w:val="000000"/>
          <w:sz w:val="24"/>
          <w:szCs w:val="24"/>
        </w:rPr>
        <w:t>t</w:t>
      </w:r>
      <w:r w:rsidR="0001237F" w:rsidRPr="0063730D">
        <w:rPr>
          <w:rFonts w:ascii="HelveticaNeue" w:hAnsi="HelveticaNeue"/>
          <w:color w:val="000000"/>
          <w:sz w:val="24"/>
          <w:szCs w:val="24"/>
        </w:rPr>
        <w:t>s who underwent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percutaneous PFO closure within the </w:t>
      </w:r>
      <w:r w:rsidR="0047509D" w:rsidRPr="0063730D">
        <w:rPr>
          <w:rFonts w:ascii="HelveticaNeue" w:hAnsi="HelveticaNeue"/>
          <w:color w:val="000000"/>
          <w:sz w:val="24"/>
          <w:szCs w:val="24"/>
        </w:rPr>
        <w:t>dates of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January </w:t>
      </w:r>
      <w:r w:rsidR="0047509D" w:rsidRPr="0063730D">
        <w:rPr>
          <w:rFonts w:ascii="HelveticaNeue" w:hAnsi="HelveticaNeue"/>
          <w:color w:val="000000"/>
          <w:sz w:val="24"/>
          <w:szCs w:val="24"/>
        </w:rPr>
        <w:t xml:space="preserve">1, </w:t>
      </w:r>
      <w:r w:rsidR="0063730D" w:rsidRPr="0063730D">
        <w:rPr>
          <w:rFonts w:ascii="HelveticaNeue" w:hAnsi="HelveticaNeue"/>
          <w:color w:val="000000"/>
          <w:sz w:val="24"/>
          <w:szCs w:val="24"/>
        </w:rPr>
        <w:t>2009,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to December </w:t>
      </w:r>
      <w:r w:rsidR="0047509D" w:rsidRPr="0063730D">
        <w:rPr>
          <w:rFonts w:ascii="HelveticaNeue" w:hAnsi="HelveticaNeue"/>
          <w:color w:val="000000"/>
          <w:sz w:val="24"/>
          <w:szCs w:val="24"/>
        </w:rPr>
        <w:t xml:space="preserve">31, 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2020. PFO closure failure </w:t>
      </w:r>
      <w:r w:rsidR="00012D52" w:rsidRPr="0063730D">
        <w:rPr>
          <w:rFonts w:ascii="HelveticaNeue" w:hAnsi="HelveticaNeue"/>
          <w:color w:val="000000"/>
          <w:sz w:val="24"/>
          <w:szCs w:val="24"/>
        </w:rPr>
        <w:t>was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defined </w:t>
      </w:r>
      <w:r w:rsidR="006574AF">
        <w:rPr>
          <w:rFonts w:ascii="HelveticaNeue" w:hAnsi="HelveticaNeue"/>
          <w:color w:val="000000"/>
          <w:sz w:val="24"/>
          <w:szCs w:val="24"/>
        </w:rPr>
        <w:t xml:space="preserve">as </w:t>
      </w:r>
      <w:r w:rsidR="00093A99">
        <w:rPr>
          <w:rFonts w:ascii="HelveticaNeue" w:hAnsi="HelveticaNeue"/>
          <w:color w:val="000000"/>
          <w:sz w:val="24"/>
          <w:szCs w:val="24"/>
        </w:rPr>
        <w:t xml:space="preserve">residual shunt </w:t>
      </w:r>
      <w:r w:rsidR="005A03D4">
        <w:rPr>
          <w:rFonts w:ascii="HelveticaNeue" w:hAnsi="HelveticaNeue"/>
          <w:color w:val="000000"/>
          <w:sz w:val="24"/>
          <w:szCs w:val="24"/>
        </w:rPr>
        <w:t>of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one or more bubble(s) seen in the left heart within 3 beats of the cardiac cycle as per the current guidelines which identify the presence of PFO. </w:t>
      </w:r>
      <w:r w:rsidR="00D80F3C" w:rsidRPr="0063730D">
        <w:rPr>
          <w:rFonts w:ascii="HelveticaNeue" w:hAnsi="HelveticaNeue"/>
          <w:color w:val="000000"/>
          <w:sz w:val="24"/>
          <w:szCs w:val="24"/>
        </w:rPr>
        <w:t xml:space="preserve">Regurgitant valve lesions were defined according to the </w:t>
      </w:r>
      <w:r w:rsidR="009E5F87" w:rsidRPr="0063730D">
        <w:rPr>
          <w:rFonts w:ascii="HelveticaNeue" w:hAnsi="HelveticaNeue"/>
          <w:color w:val="000000"/>
          <w:sz w:val="24"/>
          <w:szCs w:val="24"/>
        </w:rPr>
        <w:t xml:space="preserve">2017 </w:t>
      </w:r>
      <w:r w:rsidR="00D80F3C" w:rsidRPr="0063730D">
        <w:rPr>
          <w:rFonts w:ascii="HelveticaNeue" w:hAnsi="HelveticaNeue"/>
          <w:sz w:val="24"/>
          <w:szCs w:val="24"/>
        </w:rPr>
        <w:t>American Society of Echocardiography guidelines.</w:t>
      </w:r>
      <w:r w:rsidR="00D80F3C" w:rsidRPr="0063730D">
        <w:rPr>
          <w:rFonts w:ascii="HelveticaNeue" w:hAnsi="HelveticaNeue"/>
          <w:color w:val="000000"/>
          <w:sz w:val="24"/>
          <w:szCs w:val="24"/>
        </w:rPr>
        <w:t xml:space="preserve"> </w:t>
      </w:r>
      <w:r w:rsidR="00A44101" w:rsidRPr="0063730D">
        <w:rPr>
          <w:rFonts w:ascii="HelveticaNeue" w:hAnsi="HelveticaNeue"/>
          <w:color w:val="000000"/>
          <w:sz w:val="24"/>
          <w:szCs w:val="24"/>
        </w:rPr>
        <w:t>Survival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analysis </w:t>
      </w:r>
      <w:r w:rsidR="00A44101" w:rsidRPr="0063730D">
        <w:rPr>
          <w:rFonts w:ascii="HelveticaNeue" w:hAnsi="HelveticaNeue"/>
          <w:color w:val="000000"/>
          <w:sz w:val="24"/>
          <w:szCs w:val="24"/>
        </w:rPr>
        <w:t xml:space="preserve">using a </w:t>
      </w:r>
      <w:r w:rsidR="00064E5B" w:rsidRPr="0063730D">
        <w:rPr>
          <w:rFonts w:ascii="HelveticaNeue" w:hAnsi="HelveticaNeue"/>
          <w:color w:val="000000"/>
          <w:sz w:val="24"/>
          <w:szCs w:val="24"/>
        </w:rPr>
        <w:t xml:space="preserve">Cox </w:t>
      </w:r>
      <w:r w:rsidR="00A44101" w:rsidRPr="0063730D">
        <w:rPr>
          <w:rFonts w:ascii="HelveticaNeue" w:hAnsi="HelveticaNeue"/>
          <w:color w:val="000000"/>
          <w:sz w:val="24"/>
          <w:szCs w:val="24"/>
        </w:rPr>
        <w:t xml:space="preserve">regression model </w:t>
      </w:r>
      <w:r w:rsidR="00B96E3E" w:rsidRPr="0063730D">
        <w:rPr>
          <w:rFonts w:ascii="HelveticaNeue" w:hAnsi="HelveticaNeue"/>
          <w:color w:val="000000"/>
          <w:sz w:val="24"/>
          <w:szCs w:val="24"/>
        </w:rPr>
        <w:t>was</w:t>
      </w:r>
      <w:r w:rsidRPr="0063730D">
        <w:rPr>
          <w:rFonts w:ascii="HelveticaNeue" w:hAnsi="HelveticaNeue"/>
          <w:color w:val="000000"/>
          <w:sz w:val="24"/>
          <w:szCs w:val="24"/>
        </w:rPr>
        <w:t xml:space="preserve"> performed to assess for associations between echocardiographic parameters</w:t>
      </w:r>
      <w:r w:rsidR="00B96E3E" w:rsidRPr="0063730D">
        <w:rPr>
          <w:rFonts w:ascii="HelveticaNeue" w:hAnsi="HelveticaNeue"/>
          <w:color w:val="000000"/>
          <w:sz w:val="24"/>
          <w:szCs w:val="24"/>
        </w:rPr>
        <w:t xml:space="preserve"> </w:t>
      </w:r>
      <w:r w:rsidR="00B96E3E" w:rsidRPr="0063730D">
        <w:rPr>
          <w:rFonts w:ascii="HelveticaNeue" w:hAnsi="HelveticaNeue"/>
          <w:sz w:val="24"/>
          <w:szCs w:val="24"/>
        </w:rPr>
        <w:t xml:space="preserve">and </w:t>
      </w:r>
      <w:r w:rsidR="0068640A" w:rsidRPr="0063730D">
        <w:rPr>
          <w:rFonts w:ascii="HelveticaNeue" w:hAnsi="HelveticaNeue"/>
          <w:sz w:val="24"/>
          <w:szCs w:val="24"/>
        </w:rPr>
        <w:t xml:space="preserve">the </w:t>
      </w:r>
      <w:r w:rsidR="00B44B0C" w:rsidRPr="0063730D">
        <w:rPr>
          <w:rFonts w:ascii="HelveticaNeue" w:hAnsi="HelveticaNeue"/>
          <w:sz w:val="24"/>
          <w:szCs w:val="24"/>
        </w:rPr>
        <w:t xml:space="preserve">risk of </w:t>
      </w:r>
      <w:r w:rsidRPr="0063730D">
        <w:rPr>
          <w:rFonts w:ascii="HelveticaNeue" w:hAnsi="HelveticaNeue"/>
          <w:sz w:val="24"/>
          <w:szCs w:val="24"/>
        </w:rPr>
        <w:t>PFO</w:t>
      </w:r>
      <w:r w:rsidR="00B96E3E" w:rsidRPr="0063730D">
        <w:rPr>
          <w:rFonts w:ascii="HelveticaNeue" w:hAnsi="HelveticaNeue"/>
          <w:sz w:val="24"/>
          <w:szCs w:val="24"/>
        </w:rPr>
        <w:t xml:space="preserve"> closure</w:t>
      </w:r>
      <w:r w:rsidRPr="0063730D">
        <w:rPr>
          <w:rFonts w:ascii="HelveticaNeue" w:hAnsi="HelveticaNeue"/>
          <w:sz w:val="24"/>
          <w:szCs w:val="24"/>
        </w:rPr>
        <w:t xml:space="preserve"> failure.</w:t>
      </w:r>
    </w:p>
    <w:p w14:paraId="45D75D9A" w14:textId="77777777" w:rsidR="00097978" w:rsidRPr="0063730D" w:rsidRDefault="003F3062" w:rsidP="003C1C89">
      <w:pPr>
        <w:jc w:val="both"/>
        <w:rPr>
          <w:rFonts w:ascii="HelveticaNeue" w:eastAsia="Times New Roman" w:hAnsi="HelveticaNeue"/>
          <w:sz w:val="24"/>
          <w:szCs w:val="24"/>
        </w:rPr>
      </w:pPr>
      <w:r w:rsidRPr="0063730D">
        <w:rPr>
          <w:rFonts w:ascii="HelveticaNeue" w:eastAsia="Times New Roman" w:hAnsi="HelveticaNeue"/>
          <w:sz w:val="24"/>
          <w:szCs w:val="24"/>
        </w:rPr>
        <w:t>Results</w:t>
      </w:r>
      <w:r w:rsidR="00FF101D" w:rsidRPr="0063730D">
        <w:rPr>
          <w:rFonts w:ascii="HelveticaNeue" w:eastAsia="Times New Roman" w:hAnsi="HelveticaNeue"/>
          <w:sz w:val="24"/>
          <w:szCs w:val="24"/>
        </w:rPr>
        <w:t>:</w:t>
      </w:r>
      <w:r w:rsidR="00A44101" w:rsidRPr="0063730D">
        <w:rPr>
          <w:rFonts w:ascii="HelveticaNeue" w:eastAsia="Times New Roman" w:hAnsi="HelveticaNeue"/>
          <w:sz w:val="24"/>
          <w:szCs w:val="24"/>
        </w:rPr>
        <w:t xml:space="preserve"> </w:t>
      </w:r>
    </w:p>
    <w:p w14:paraId="1E8EA7AB" w14:textId="3CD91433" w:rsidR="00FF101D" w:rsidRPr="0063730D" w:rsidRDefault="00876623" w:rsidP="003C1C89">
      <w:pPr>
        <w:jc w:val="both"/>
        <w:rPr>
          <w:rFonts w:ascii="HelveticaNeue" w:eastAsia="Times New Roman" w:hAnsi="HelveticaNeue"/>
          <w:sz w:val="24"/>
          <w:szCs w:val="24"/>
        </w:rPr>
      </w:pPr>
      <w:r w:rsidRPr="0063730D">
        <w:rPr>
          <w:rFonts w:ascii="HelveticaNeue" w:eastAsia="Times New Roman" w:hAnsi="HelveticaNeue"/>
          <w:sz w:val="24"/>
          <w:szCs w:val="24"/>
        </w:rPr>
        <w:t>V</w:t>
      </w:r>
      <w:r w:rsidR="003C1C89" w:rsidRPr="0063730D">
        <w:rPr>
          <w:rFonts w:ascii="HelveticaNeue" w:eastAsia="Times New Roman" w:hAnsi="HelveticaNeue"/>
          <w:sz w:val="24"/>
          <w:szCs w:val="24"/>
        </w:rPr>
        <w:t xml:space="preserve">alve lesions were found in </w:t>
      </w:r>
      <w:r w:rsidRPr="0063730D">
        <w:rPr>
          <w:rFonts w:ascii="HelveticaNeue" w:eastAsia="Times New Roman" w:hAnsi="HelveticaNeue"/>
          <w:sz w:val="24"/>
          <w:szCs w:val="24"/>
        </w:rPr>
        <w:t>119</w:t>
      </w:r>
      <w:r w:rsidR="003C1C89" w:rsidRPr="0063730D">
        <w:rPr>
          <w:rFonts w:ascii="HelveticaNeue" w:eastAsia="Times New Roman" w:hAnsi="HelveticaNeue"/>
          <w:sz w:val="24"/>
          <w:szCs w:val="24"/>
        </w:rPr>
        <w:t xml:space="preserve"> patients (</w:t>
      </w:r>
      <w:r w:rsidRPr="0063730D">
        <w:rPr>
          <w:rFonts w:ascii="HelveticaNeue" w:eastAsia="Times New Roman" w:hAnsi="HelveticaNeue"/>
          <w:sz w:val="24"/>
          <w:szCs w:val="24"/>
        </w:rPr>
        <w:t>86.9</w:t>
      </w:r>
      <w:r w:rsidR="003C1C89" w:rsidRPr="0063730D">
        <w:rPr>
          <w:rFonts w:ascii="HelveticaNeue" w:eastAsia="Times New Roman" w:hAnsi="HelveticaNeue"/>
          <w:sz w:val="24"/>
          <w:szCs w:val="24"/>
        </w:rPr>
        <w:t xml:space="preserve">%). Of these, </w:t>
      </w:r>
      <w:r w:rsidR="008033F2" w:rsidRPr="0063730D">
        <w:rPr>
          <w:rFonts w:ascii="HelveticaNeue" w:eastAsia="Times New Roman" w:hAnsi="HelveticaNeue"/>
          <w:sz w:val="24"/>
          <w:szCs w:val="24"/>
        </w:rPr>
        <w:t>3</w:t>
      </w:r>
      <w:r w:rsidR="003D26BA" w:rsidRPr="0063730D">
        <w:rPr>
          <w:rFonts w:ascii="HelveticaNeue" w:eastAsia="Times New Roman" w:hAnsi="HelveticaNeue"/>
          <w:sz w:val="24"/>
          <w:szCs w:val="24"/>
        </w:rPr>
        <w:t>1 (26%)</w:t>
      </w:r>
      <w:r w:rsidR="003C1C89" w:rsidRPr="0063730D">
        <w:rPr>
          <w:rFonts w:ascii="HelveticaNeue" w:eastAsia="Times New Roman" w:hAnsi="HelveticaNeue"/>
          <w:sz w:val="24"/>
          <w:szCs w:val="24"/>
        </w:rPr>
        <w:t xml:space="preserve"> resulted in </w:t>
      </w:r>
      <w:r w:rsidR="007173F0">
        <w:rPr>
          <w:rFonts w:ascii="HelveticaNeue" w:eastAsia="Times New Roman" w:hAnsi="HelveticaNeue"/>
          <w:sz w:val="24"/>
          <w:szCs w:val="24"/>
        </w:rPr>
        <w:t>percutaneous</w:t>
      </w:r>
      <w:r w:rsidR="007173F0" w:rsidRPr="0063730D">
        <w:rPr>
          <w:rFonts w:ascii="HelveticaNeue" w:eastAsia="Times New Roman" w:hAnsi="HelveticaNeue"/>
          <w:sz w:val="24"/>
          <w:szCs w:val="24"/>
        </w:rPr>
        <w:t xml:space="preserve"> </w:t>
      </w:r>
      <w:r w:rsidR="003C1C89" w:rsidRPr="0063730D">
        <w:rPr>
          <w:rFonts w:ascii="HelveticaNeue" w:eastAsia="Times New Roman" w:hAnsi="HelveticaNeue"/>
          <w:sz w:val="24"/>
          <w:szCs w:val="24"/>
        </w:rPr>
        <w:t xml:space="preserve">PFO closure failure. 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The independent </w:t>
      </w:r>
      <w:bookmarkStart w:id="0" w:name="_Hlk81908898"/>
      <w:r w:rsidR="00C0532E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(statistically significant, P &lt; 0.05) </w:t>
      </w:r>
      <w:bookmarkEnd w:id="0"/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predictors of PFO failure were moderate mitral regurgitation</w:t>
      </w:r>
      <w:r w:rsidR="0063730D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(MR)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</w:t>
      </w:r>
      <w:bookmarkStart w:id="1" w:name="_Hlk81909850"/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elative Risk, </w:t>
      </w:r>
      <w:bookmarkEnd w:id="1"/>
      <w:r w:rsidRPr="0063730D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R 10.33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, 95% CI 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1.8</w:t>
      </w:r>
      <w:r w:rsidR="00E6480D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6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-56.35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), tricuspid regurgitation</w:t>
      </w:r>
      <w:r w:rsidR="0063730D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(TR)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RR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1.85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, 95%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CI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1.16-2.95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), mitral plus tricuspid regurgitation (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RR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1.4</w:t>
      </w:r>
      <w:r w:rsidR="00B44B0C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7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, 95%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CI 1.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13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-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1.9</w:t>
      </w:r>
      <w:r w:rsidR="00064E5B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0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), and mitral plus tricuspid plus aortic regurgitation</w:t>
      </w:r>
      <w:r w:rsidR="0063730D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(AR)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R 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1.3</w:t>
      </w:r>
      <w:r w:rsidR="00B44B0C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6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, 95%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CI 1.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07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-</w:t>
      </w:r>
      <w:r w:rsidR="00243832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1.71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)</w:t>
      </w:r>
      <w:r w:rsidR="00722FDF" w:rsidRPr="0063730D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(Table 1)</w:t>
      </w:r>
      <w:r w:rsidR="003C1C89" w:rsidRPr="0063730D">
        <w:rPr>
          <w:rFonts w:ascii="HelveticaNeue" w:hAnsi="HelveticaNeue" w:cs="Segoe UI"/>
          <w:sz w:val="24"/>
          <w:szCs w:val="24"/>
          <w:shd w:val="clear" w:color="auto" w:fill="FFFFFF"/>
        </w:rPr>
        <w:t>.</w:t>
      </w:r>
    </w:p>
    <w:p w14:paraId="049FF4C6" w14:textId="77777777" w:rsidR="00097978" w:rsidRPr="0063730D" w:rsidRDefault="00FF101D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63730D">
        <w:rPr>
          <w:rFonts w:ascii="HelveticaNeue" w:eastAsia="Times New Roman" w:hAnsi="HelveticaNeue"/>
          <w:color w:val="000000"/>
          <w:sz w:val="24"/>
          <w:szCs w:val="24"/>
        </w:rPr>
        <w:t>Conclusion</w:t>
      </w:r>
      <w:r w:rsidR="000A1383" w:rsidRPr="0063730D">
        <w:rPr>
          <w:rFonts w:ascii="HelveticaNeue" w:eastAsia="Times New Roman" w:hAnsi="HelveticaNeue"/>
          <w:color w:val="000000"/>
          <w:sz w:val="24"/>
          <w:szCs w:val="24"/>
        </w:rPr>
        <w:t>s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: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</w:p>
    <w:p w14:paraId="10240B77" w14:textId="1DA0F70C" w:rsidR="00FF101D" w:rsidRPr="0063730D" w:rsidRDefault="001A3252" w:rsidP="001A3252">
      <w:pPr>
        <w:jc w:val="both"/>
        <w:rPr>
          <w:rFonts w:ascii="HelveticaNeue" w:eastAsia="Times New Roman" w:hAnsi="HelveticaNeue"/>
          <w:color w:val="000000"/>
          <w:sz w:val="24"/>
          <w:szCs w:val="24"/>
        </w:rPr>
      </w:pPr>
      <w:r w:rsidRPr="0063730D">
        <w:rPr>
          <w:rFonts w:ascii="HelveticaNeue" w:eastAsia="Times New Roman" w:hAnsi="HelveticaNeue"/>
          <w:color w:val="000000"/>
          <w:sz w:val="24"/>
          <w:szCs w:val="24"/>
        </w:rPr>
        <w:t>Moderate m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>itral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regurgitation is associated with a </w:t>
      </w:r>
      <w:r w:rsidR="00A7370C" w:rsidRPr="0063730D">
        <w:rPr>
          <w:rFonts w:ascii="HelveticaNeue" w:eastAsia="Times New Roman" w:hAnsi="HelveticaNeue"/>
          <w:color w:val="000000"/>
          <w:sz w:val="24"/>
          <w:szCs w:val="24"/>
        </w:rPr>
        <w:t>10-fold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high</w:t>
      </w:r>
      <w:r w:rsidR="00064E5B" w:rsidRPr="0063730D">
        <w:rPr>
          <w:rFonts w:ascii="HelveticaNeue" w:eastAsia="Times New Roman" w:hAnsi="HelveticaNeue"/>
          <w:color w:val="000000"/>
          <w:sz w:val="24"/>
          <w:szCs w:val="24"/>
        </w:rPr>
        <w:t>er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risk of PFO closure failure.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T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ricuspid regurgitation is associated with 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a 1.85 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>high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er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risk</w:t>
      </w:r>
      <w:r w:rsidR="00A44101"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 of PFO closure failure. 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Multiple regurgitant valves result in a 1.</w:t>
      </w:r>
      <w:r w:rsidR="00064E5B" w:rsidRPr="0063730D">
        <w:rPr>
          <w:rFonts w:ascii="HelveticaNeue" w:eastAsia="Times New Roman" w:hAnsi="HelveticaNeue"/>
          <w:color w:val="000000"/>
          <w:sz w:val="24"/>
          <w:szCs w:val="24"/>
        </w:rPr>
        <w:t>4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-1.</w:t>
      </w:r>
      <w:r w:rsidR="00064E5B" w:rsidRPr="0063730D">
        <w:rPr>
          <w:rFonts w:ascii="HelveticaNeue" w:eastAsia="Times New Roman" w:hAnsi="HelveticaNeue"/>
          <w:color w:val="000000"/>
          <w:sz w:val="24"/>
          <w:szCs w:val="24"/>
        </w:rPr>
        <w:t xml:space="preserve">5 </w:t>
      </w:r>
      <w:r w:rsidRPr="0063730D">
        <w:rPr>
          <w:rFonts w:ascii="HelveticaNeue" w:eastAsia="Times New Roman" w:hAnsi="HelveticaNeue"/>
          <w:color w:val="000000"/>
          <w:sz w:val="24"/>
          <w:szCs w:val="24"/>
        </w:rPr>
        <w:t>times higher risk of failure.</w:t>
      </w:r>
    </w:p>
    <w:p w14:paraId="4212FA90" w14:textId="617DBBA4" w:rsidR="00722FDF" w:rsidRPr="0063730D" w:rsidRDefault="00722FDF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2F9476F1" w14:textId="6DA3D8C2" w:rsidR="003F1620" w:rsidRPr="0063730D" w:rsidRDefault="003F1620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41BF892E" w14:textId="6BFE898B" w:rsidR="003F1620" w:rsidRPr="0063730D" w:rsidRDefault="003F1620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1EEF7F8D" w14:textId="64FD06FB" w:rsidR="003F1620" w:rsidRPr="0063730D" w:rsidRDefault="003F1620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1DFAD377" w14:textId="77777777" w:rsidR="003F1620" w:rsidRPr="0063730D" w:rsidRDefault="003F1620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6662BF1F" w14:textId="4A9E38A6" w:rsidR="00722FDF" w:rsidRPr="0063730D" w:rsidRDefault="00722FDF" w:rsidP="00722FDF">
      <w:pPr>
        <w:jc w:val="center"/>
        <w:rPr>
          <w:rFonts w:ascii="HelveticaNeue" w:eastAsia="Times New Roman" w:hAnsi="HelveticaNeue"/>
          <w:color w:val="000000"/>
        </w:rPr>
      </w:pPr>
      <w:r w:rsidRPr="0063730D">
        <w:rPr>
          <w:rFonts w:ascii="HelveticaNeue" w:eastAsia="Times New Roman" w:hAnsi="HelveticaNeue"/>
          <w:b/>
          <w:bCs/>
          <w:color w:val="000000"/>
        </w:rPr>
        <w:t>Table 1:</w:t>
      </w:r>
      <w:r w:rsidRPr="0063730D">
        <w:rPr>
          <w:rFonts w:ascii="HelveticaNeue" w:eastAsia="Times New Roman" w:hAnsi="HelveticaNeue"/>
          <w:color w:val="000000"/>
        </w:rPr>
        <w:t xml:space="preserve"> </w:t>
      </w:r>
      <w:r w:rsidRPr="0063730D">
        <w:rPr>
          <w:rFonts w:ascii="HelveticaNeue" w:eastAsia="Times New Roman" w:hAnsi="HelveticaNeue" w:cs="Calibri"/>
          <w:color w:val="000000"/>
        </w:rPr>
        <w:t>Univariates Survival Analyses: Cox regression model</w:t>
      </w:r>
    </w:p>
    <w:tbl>
      <w:tblPr>
        <w:tblStyle w:val="PlainTable3"/>
        <w:tblW w:w="7009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1448"/>
        <w:gridCol w:w="230"/>
        <w:gridCol w:w="1422"/>
        <w:gridCol w:w="230"/>
        <w:gridCol w:w="1422"/>
        <w:gridCol w:w="230"/>
      </w:tblGrid>
      <w:tr w:rsidR="004710BF" w:rsidRPr="0063730D" w14:paraId="4884829D" w14:textId="6F73D52D" w:rsidTr="00471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7" w:type="dxa"/>
            <w:vAlign w:val="center"/>
            <w:hideMark/>
          </w:tcPr>
          <w:p w14:paraId="294A4FB6" w14:textId="433251EA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Arial" w:eastAsia="Times New Roman" w:hAnsi="Arial" w:cs="Arial"/>
                <w:color w:val="000000"/>
              </w:rPr>
              <w:t>Predictor Variable</w:t>
            </w:r>
            <w:r w:rsidRPr="0063730D" w:rsidDel="00764D84">
              <w:rPr>
                <w:rFonts w:ascii="HelveticaNeue" w:eastAsia="Times New Roman" w:hAnsi="HelveticaNeue" w:cs="Arial"/>
                <w:color w:val="000000"/>
              </w:rPr>
              <w:t xml:space="preserve"> </w:t>
            </w:r>
          </w:p>
        </w:tc>
        <w:tc>
          <w:tcPr>
            <w:tcW w:w="1678" w:type="dxa"/>
            <w:gridSpan w:val="2"/>
            <w:vAlign w:val="center"/>
            <w:hideMark/>
          </w:tcPr>
          <w:p w14:paraId="00BE651B" w14:textId="5D9D3C4D" w:rsidR="004710BF" w:rsidRPr="0063730D" w:rsidRDefault="004710BF" w:rsidP="004710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Relative Risk (RR)</w:t>
            </w:r>
          </w:p>
        </w:tc>
        <w:tc>
          <w:tcPr>
            <w:tcW w:w="1652" w:type="dxa"/>
            <w:gridSpan w:val="2"/>
            <w:vAlign w:val="center"/>
            <w:hideMark/>
          </w:tcPr>
          <w:p w14:paraId="233971B6" w14:textId="646A5F8E" w:rsidR="004710BF" w:rsidRPr="0063730D" w:rsidRDefault="004710BF" w:rsidP="004710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 xml:space="preserve">RR    95% Confidence interval </w:t>
            </w:r>
          </w:p>
        </w:tc>
        <w:tc>
          <w:tcPr>
            <w:tcW w:w="1652" w:type="dxa"/>
            <w:gridSpan w:val="2"/>
            <w:vAlign w:val="center"/>
          </w:tcPr>
          <w:p w14:paraId="2AE93A50" w14:textId="267BCD4A" w:rsidR="004710BF" w:rsidRPr="0063730D" w:rsidRDefault="004710BF" w:rsidP="004710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P-Value</w:t>
            </w:r>
          </w:p>
        </w:tc>
      </w:tr>
      <w:tr w:rsidR="004710BF" w:rsidRPr="0063730D" w14:paraId="5178A1BE" w14:textId="10D9E61E" w:rsidTr="004710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528D49B5" w14:textId="30020187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Mild AR</w:t>
            </w:r>
          </w:p>
        </w:tc>
        <w:tc>
          <w:tcPr>
            <w:tcW w:w="1448" w:type="dxa"/>
            <w:hideMark/>
          </w:tcPr>
          <w:p w14:paraId="7CD96487" w14:textId="57B57A3A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2.18</w:t>
            </w:r>
          </w:p>
        </w:tc>
        <w:tc>
          <w:tcPr>
            <w:tcW w:w="1652" w:type="dxa"/>
            <w:gridSpan w:val="2"/>
            <w:noWrap/>
            <w:hideMark/>
          </w:tcPr>
          <w:p w14:paraId="3AF27C4A" w14:textId="77777777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</w:p>
        </w:tc>
        <w:tc>
          <w:tcPr>
            <w:tcW w:w="1652" w:type="dxa"/>
            <w:gridSpan w:val="2"/>
          </w:tcPr>
          <w:p w14:paraId="78C263A6" w14:textId="767F69CB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0.185</w:t>
            </w:r>
          </w:p>
        </w:tc>
      </w:tr>
      <w:tr w:rsidR="004710BF" w:rsidRPr="0063730D" w14:paraId="4FFE5C53" w14:textId="0384BE41" w:rsidTr="004710BF">
        <w:trPr>
          <w:gridAfter w:val="1"/>
          <w:wAfter w:w="23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1BE1D051" w14:textId="42551502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Moderate AR</w:t>
            </w:r>
          </w:p>
        </w:tc>
        <w:tc>
          <w:tcPr>
            <w:tcW w:w="1448" w:type="dxa"/>
            <w:hideMark/>
          </w:tcPr>
          <w:p w14:paraId="369E3989" w14:textId="681EE466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0.89</w:t>
            </w:r>
          </w:p>
        </w:tc>
        <w:tc>
          <w:tcPr>
            <w:tcW w:w="1652" w:type="dxa"/>
            <w:gridSpan w:val="2"/>
            <w:noWrap/>
            <w:hideMark/>
          </w:tcPr>
          <w:p w14:paraId="6F121B7A" w14:textId="77777777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</w:p>
        </w:tc>
        <w:tc>
          <w:tcPr>
            <w:tcW w:w="1652" w:type="dxa"/>
            <w:gridSpan w:val="2"/>
          </w:tcPr>
          <w:p w14:paraId="59C2F64F" w14:textId="110A8FC1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0.916</w:t>
            </w:r>
          </w:p>
        </w:tc>
      </w:tr>
      <w:tr w:rsidR="004710BF" w:rsidRPr="0063730D" w14:paraId="072FDF59" w14:textId="32908F20" w:rsidTr="004710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0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28130D5B" w14:textId="34D01054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Mild MR</w:t>
            </w:r>
          </w:p>
        </w:tc>
        <w:tc>
          <w:tcPr>
            <w:tcW w:w="1448" w:type="dxa"/>
            <w:hideMark/>
          </w:tcPr>
          <w:p w14:paraId="27C5B28C" w14:textId="4537E86D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1.78</w:t>
            </w:r>
          </w:p>
        </w:tc>
        <w:tc>
          <w:tcPr>
            <w:tcW w:w="1652" w:type="dxa"/>
            <w:gridSpan w:val="2"/>
            <w:noWrap/>
            <w:hideMark/>
          </w:tcPr>
          <w:p w14:paraId="665F6D9D" w14:textId="77777777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</w:p>
        </w:tc>
        <w:tc>
          <w:tcPr>
            <w:tcW w:w="1652" w:type="dxa"/>
            <w:gridSpan w:val="2"/>
          </w:tcPr>
          <w:p w14:paraId="7A91696B" w14:textId="5D398E18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0.358</w:t>
            </w:r>
          </w:p>
        </w:tc>
      </w:tr>
      <w:tr w:rsidR="004710BF" w:rsidRPr="0063730D" w14:paraId="6EE3C8CC" w14:textId="65BF565D" w:rsidTr="004710BF">
        <w:trPr>
          <w:gridAfter w:val="1"/>
          <w:wAfter w:w="230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52981EF1" w14:textId="52A78173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C00000"/>
              </w:rPr>
              <w:t>Moderate MR</w:t>
            </w:r>
          </w:p>
        </w:tc>
        <w:tc>
          <w:tcPr>
            <w:tcW w:w="1448" w:type="dxa"/>
            <w:hideMark/>
          </w:tcPr>
          <w:p w14:paraId="3C3D1DD7" w14:textId="0CDC88D3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10.33</w:t>
            </w:r>
          </w:p>
        </w:tc>
        <w:tc>
          <w:tcPr>
            <w:tcW w:w="1652" w:type="dxa"/>
            <w:gridSpan w:val="2"/>
            <w:noWrap/>
            <w:hideMark/>
          </w:tcPr>
          <w:p w14:paraId="0FAE92C8" w14:textId="6EEA4921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1.86-56.35</w:t>
            </w:r>
          </w:p>
        </w:tc>
        <w:tc>
          <w:tcPr>
            <w:tcW w:w="1652" w:type="dxa"/>
            <w:gridSpan w:val="2"/>
          </w:tcPr>
          <w:p w14:paraId="5087F8E0" w14:textId="040D044A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C00000"/>
              </w:rPr>
              <w:t>0.007</w:t>
            </w:r>
          </w:p>
        </w:tc>
      </w:tr>
      <w:tr w:rsidR="004710BF" w:rsidRPr="0063730D" w14:paraId="3878DDF1" w14:textId="74BD533C" w:rsidTr="004710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0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339B2C3A" w14:textId="3C889256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Severe MR</w:t>
            </w:r>
          </w:p>
        </w:tc>
        <w:tc>
          <w:tcPr>
            <w:tcW w:w="1448" w:type="dxa"/>
            <w:hideMark/>
          </w:tcPr>
          <w:p w14:paraId="4615DFED" w14:textId="0243BFD5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4.85</w:t>
            </w:r>
          </w:p>
        </w:tc>
        <w:tc>
          <w:tcPr>
            <w:tcW w:w="1652" w:type="dxa"/>
            <w:gridSpan w:val="2"/>
            <w:noWrap/>
            <w:hideMark/>
          </w:tcPr>
          <w:p w14:paraId="503C68BB" w14:textId="7C7D4D94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</w:p>
        </w:tc>
        <w:tc>
          <w:tcPr>
            <w:tcW w:w="1652" w:type="dxa"/>
            <w:gridSpan w:val="2"/>
          </w:tcPr>
          <w:p w14:paraId="3A0FAEA0" w14:textId="026A4EFF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color w:val="000000"/>
              </w:rPr>
              <w:t>0.175</w:t>
            </w:r>
          </w:p>
        </w:tc>
      </w:tr>
      <w:tr w:rsidR="004710BF" w:rsidRPr="0063730D" w14:paraId="6DEC75B6" w14:textId="6EBCC2E9" w:rsidTr="004710BF">
        <w:trPr>
          <w:gridAfter w:val="1"/>
          <w:wAfter w:w="230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0FE73561" w14:textId="77777777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C00000"/>
              </w:rPr>
            </w:pPr>
            <w:r w:rsidRPr="0063730D">
              <w:rPr>
                <w:rFonts w:ascii="HelveticaNeue" w:eastAsia="Times New Roman" w:hAnsi="HelveticaNeue" w:cs="Arial"/>
                <w:color w:val="C00000"/>
              </w:rPr>
              <w:t>TR</w:t>
            </w:r>
          </w:p>
        </w:tc>
        <w:tc>
          <w:tcPr>
            <w:tcW w:w="1448" w:type="dxa"/>
            <w:hideMark/>
          </w:tcPr>
          <w:p w14:paraId="14C33B62" w14:textId="7C230EBD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1.85</w:t>
            </w:r>
          </w:p>
        </w:tc>
        <w:tc>
          <w:tcPr>
            <w:tcW w:w="1652" w:type="dxa"/>
            <w:gridSpan w:val="2"/>
            <w:noWrap/>
            <w:hideMark/>
          </w:tcPr>
          <w:p w14:paraId="20C9E5DC" w14:textId="6B671FEB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1.16-2.95</w:t>
            </w:r>
          </w:p>
        </w:tc>
        <w:tc>
          <w:tcPr>
            <w:tcW w:w="1652" w:type="dxa"/>
            <w:gridSpan w:val="2"/>
          </w:tcPr>
          <w:p w14:paraId="44FF042C" w14:textId="43654462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C00000"/>
              </w:rPr>
              <w:t>0.009</w:t>
            </w:r>
          </w:p>
        </w:tc>
      </w:tr>
      <w:tr w:rsidR="004710BF" w:rsidRPr="0063730D" w14:paraId="63BAB20B" w14:textId="7AFA1904" w:rsidTr="004710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0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236CAB99" w14:textId="2B06028F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C00000"/>
              </w:rPr>
            </w:pPr>
            <w:r w:rsidRPr="0063730D">
              <w:rPr>
                <w:rFonts w:ascii="HelveticaNeue" w:eastAsia="Times New Roman" w:hAnsi="HelveticaNeue" w:cs="Arial"/>
                <w:color w:val="C00000"/>
              </w:rPr>
              <w:t>MR &amp; TR</w:t>
            </w:r>
          </w:p>
        </w:tc>
        <w:tc>
          <w:tcPr>
            <w:tcW w:w="1448" w:type="dxa"/>
            <w:hideMark/>
          </w:tcPr>
          <w:p w14:paraId="4D67A903" w14:textId="228B97EC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1.47</w:t>
            </w:r>
          </w:p>
        </w:tc>
        <w:tc>
          <w:tcPr>
            <w:tcW w:w="1652" w:type="dxa"/>
            <w:gridSpan w:val="2"/>
            <w:noWrap/>
            <w:hideMark/>
          </w:tcPr>
          <w:p w14:paraId="1CCBBEBE" w14:textId="60729767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1.13-1.90</w:t>
            </w:r>
          </w:p>
        </w:tc>
        <w:tc>
          <w:tcPr>
            <w:tcW w:w="1652" w:type="dxa"/>
            <w:gridSpan w:val="2"/>
          </w:tcPr>
          <w:p w14:paraId="22807048" w14:textId="1EFD42D7" w:rsidR="004710BF" w:rsidRPr="0063730D" w:rsidRDefault="004710BF" w:rsidP="00471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C00000"/>
              </w:rPr>
              <w:t>0.004</w:t>
            </w:r>
          </w:p>
        </w:tc>
      </w:tr>
      <w:tr w:rsidR="004710BF" w:rsidRPr="0063730D" w14:paraId="28BEFB9F" w14:textId="75385235" w:rsidTr="004710BF">
        <w:trPr>
          <w:gridAfter w:val="1"/>
          <w:wAfter w:w="230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hideMark/>
          </w:tcPr>
          <w:p w14:paraId="0C4D37ED" w14:textId="453F360C" w:rsidR="004710BF" w:rsidRPr="0063730D" w:rsidRDefault="004710BF" w:rsidP="004710BF">
            <w:pPr>
              <w:jc w:val="center"/>
              <w:rPr>
                <w:rFonts w:ascii="HelveticaNeue" w:eastAsia="Times New Roman" w:hAnsi="HelveticaNeue" w:cs="Arial"/>
                <w:color w:val="C00000"/>
              </w:rPr>
            </w:pPr>
            <w:r w:rsidRPr="0063730D">
              <w:rPr>
                <w:rFonts w:ascii="HelveticaNeue" w:eastAsia="Times New Roman" w:hAnsi="HelveticaNeue" w:cs="Arial"/>
                <w:color w:val="C00000"/>
              </w:rPr>
              <w:t>MR, TR, &amp; AR</w:t>
            </w:r>
          </w:p>
        </w:tc>
        <w:tc>
          <w:tcPr>
            <w:tcW w:w="1448" w:type="dxa"/>
            <w:hideMark/>
          </w:tcPr>
          <w:p w14:paraId="38C51B2F" w14:textId="62FB5ED9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1.36</w:t>
            </w:r>
          </w:p>
        </w:tc>
        <w:tc>
          <w:tcPr>
            <w:tcW w:w="1652" w:type="dxa"/>
            <w:gridSpan w:val="2"/>
            <w:noWrap/>
            <w:hideMark/>
          </w:tcPr>
          <w:p w14:paraId="7CB0A380" w14:textId="0776B87B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000000"/>
              </w:rPr>
              <w:t>1.07-1.71</w:t>
            </w:r>
          </w:p>
        </w:tc>
        <w:tc>
          <w:tcPr>
            <w:tcW w:w="1652" w:type="dxa"/>
            <w:gridSpan w:val="2"/>
          </w:tcPr>
          <w:p w14:paraId="511E1104" w14:textId="74F9F769" w:rsidR="004710BF" w:rsidRPr="0063730D" w:rsidRDefault="004710BF" w:rsidP="0047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eastAsia="Times New Roman" w:hAnsi="HelveticaNeue" w:cs="Arial"/>
                <w:b/>
                <w:bCs/>
                <w:color w:val="000000"/>
              </w:rPr>
            </w:pPr>
            <w:r w:rsidRPr="0063730D">
              <w:rPr>
                <w:rFonts w:ascii="HelveticaNeue" w:eastAsia="Times New Roman" w:hAnsi="HelveticaNeue" w:cs="Arial"/>
                <w:b/>
                <w:bCs/>
                <w:color w:val="C00000"/>
              </w:rPr>
              <w:t>0.010</w:t>
            </w:r>
          </w:p>
        </w:tc>
      </w:tr>
    </w:tbl>
    <w:p w14:paraId="0F909B37" w14:textId="77777777" w:rsidR="008A2076" w:rsidRPr="0063730D" w:rsidRDefault="008A2076" w:rsidP="00D974A5">
      <w:pPr>
        <w:spacing w:after="0"/>
        <w:jc w:val="center"/>
        <w:rPr>
          <w:rFonts w:ascii="HelveticaNeue" w:eastAsia="Times New Roman" w:hAnsi="HelveticaNeue"/>
          <w:color w:val="000000"/>
          <w:sz w:val="20"/>
          <w:szCs w:val="20"/>
        </w:rPr>
      </w:pPr>
    </w:p>
    <w:p w14:paraId="35F053F6" w14:textId="6E162338" w:rsidR="007A6F42" w:rsidRPr="0063730D" w:rsidRDefault="007A6F42" w:rsidP="008A2076">
      <w:pPr>
        <w:spacing w:after="0"/>
        <w:jc w:val="center"/>
        <w:rPr>
          <w:rFonts w:ascii="HelveticaNeue" w:eastAsia="Times New Roman" w:hAnsi="HelveticaNeue"/>
          <w:color w:val="000000"/>
          <w:sz w:val="20"/>
          <w:szCs w:val="20"/>
        </w:rPr>
      </w:pPr>
      <w:r w:rsidRPr="0063730D">
        <w:rPr>
          <w:rFonts w:ascii="HelveticaNeue" w:eastAsia="Times New Roman" w:hAnsi="HelveticaNeue"/>
          <w:color w:val="000000"/>
          <w:sz w:val="20"/>
          <w:szCs w:val="20"/>
        </w:rPr>
        <w:t>* When two or more levels are shown for a particular categorical predictor variable, that means that each of</w:t>
      </w:r>
      <w:r w:rsidRPr="0063730D">
        <w:rPr>
          <w:rFonts w:ascii="HelveticaNeue" w:hAnsi="HelveticaNeue"/>
          <w:sz w:val="20"/>
          <w:szCs w:val="20"/>
        </w:rPr>
        <w:t xml:space="preserve"> </w:t>
      </w:r>
      <w:r w:rsidRPr="0063730D">
        <w:rPr>
          <w:rFonts w:ascii="HelveticaNeue" w:eastAsia="Times New Roman" w:hAnsi="HelveticaNeue"/>
          <w:color w:val="000000"/>
          <w:sz w:val="20"/>
          <w:szCs w:val="20"/>
        </w:rPr>
        <w:t>these levels is compared with the reference, which is normally</w:t>
      </w:r>
      <w:r w:rsidR="000D4535"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</w:t>
      </w:r>
      <w:bookmarkStart w:id="2" w:name="_Hlk81910564"/>
      <w:r w:rsidR="000D4535" w:rsidRPr="0063730D">
        <w:rPr>
          <w:rFonts w:ascii="HelveticaNeue" w:eastAsia="Times New Roman" w:hAnsi="HelveticaNeue"/>
          <w:color w:val="000000"/>
          <w:sz w:val="20"/>
          <w:szCs w:val="20"/>
        </w:rPr>
        <w:t>the lowest</w:t>
      </w:r>
      <w:bookmarkEnd w:id="2"/>
      <w:r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level</w:t>
      </w:r>
      <w:r w:rsidR="000D4535" w:rsidRPr="0063730D">
        <w:rPr>
          <w:rFonts w:ascii="HelveticaNeue" w:eastAsia="Times New Roman" w:hAnsi="HelveticaNeue"/>
          <w:color w:val="000000"/>
          <w:sz w:val="20"/>
          <w:szCs w:val="20"/>
        </w:rPr>
        <w:t>,</w:t>
      </w:r>
      <w:r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0 or 1.</w:t>
      </w:r>
    </w:p>
    <w:p w14:paraId="3B9CBBB8" w14:textId="0865CCC0" w:rsidR="00841AE7" w:rsidRPr="0063730D" w:rsidRDefault="00841AE7" w:rsidP="007A6F42">
      <w:pPr>
        <w:spacing w:after="0"/>
        <w:jc w:val="center"/>
        <w:rPr>
          <w:rFonts w:ascii="HelveticaNeue" w:eastAsia="Times New Roman" w:hAnsi="HelveticaNeue"/>
          <w:color w:val="000000"/>
          <w:sz w:val="20"/>
          <w:szCs w:val="20"/>
        </w:rPr>
      </w:pPr>
      <w:r w:rsidRPr="0063730D">
        <w:rPr>
          <w:rFonts w:ascii="HelveticaNeue" w:eastAsia="Times New Roman" w:hAnsi="HelveticaNeue"/>
          <w:color w:val="000000"/>
          <w:sz w:val="20"/>
          <w:szCs w:val="20"/>
        </w:rPr>
        <w:t>** P-values &lt; 0.05 (stat</w:t>
      </w:r>
      <w:bookmarkStart w:id="3" w:name="_Hlk81910601"/>
      <w:r w:rsidR="00764D84" w:rsidRPr="0063730D">
        <w:rPr>
          <w:rFonts w:ascii="HelveticaNeue" w:eastAsia="Times New Roman" w:hAnsi="HelveticaNeue"/>
          <w:color w:val="000000"/>
          <w:sz w:val="20"/>
          <w:szCs w:val="20"/>
        </w:rPr>
        <w:t>istically</w:t>
      </w:r>
      <w:bookmarkEnd w:id="3"/>
      <w:r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significant) are highlighted in red.</w:t>
      </w:r>
      <w:r w:rsidR="00627BB0"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</w:t>
      </w:r>
      <w:bookmarkStart w:id="4" w:name="_Hlk81910622"/>
      <w:r w:rsidR="00627BB0" w:rsidRPr="0063730D">
        <w:rPr>
          <w:rFonts w:ascii="HelveticaNeue" w:eastAsia="Times New Roman" w:hAnsi="HelveticaNeue"/>
          <w:color w:val="000000"/>
          <w:sz w:val="20"/>
          <w:szCs w:val="20"/>
        </w:rPr>
        <w:t>95%</w:t>
      </w:r>
      <w:r w:rsidR="00E40D86">
        <w:rPr>
          <w:rFonts w:ascii="HelveticaNeue" w:eastAsia="Times New Roman" w:hAnsi="HelveticaNeue"/>
          <w:color w:val="000000"/>
          <w:sz w:val="20"/>
          <w:szCs w:val="20"/>
        </w:rPr>
        <w:t xml:space="preserve"> </w:t>
      </w:r>
      <w:r w:rsidR="00627BB0" w:rsidRPr="0063730D">
        <w:rPr>
          <w:rFonts w:ascii="HelveticaNeue" w:eastAsia="Times New Roman" w:hAnsi="HelveticaNeue"/>
          <w:color w:val="000000"/>
          <w:sz w:val="20"/>
          <w:szCs w:val="20"/>
        </w:rPr>
        <w:t>C</w:t>
      </w:r>
      <w:r w:rsidR="00E40D86">
        <w:rPr>
          <w:rFonts w:ascii="HelveticaNeue" w:eastAsia="Times New Roman" w:hAnsi="HelveticaNeue"/>
          <w:color w:val="000000"/>
          <w:sz w:val="20"/>
          <w:szCs w:val="20"/>
        </w:rPr>
        <w:t xml:space="preserve">I </w:t>
      </w:r>
      <w:r w:rsidR="00627BB0" w:rsidRPr="0063730D">
        <w:rPr>
          <w:rFonts w:ascii="HelveticaNeue" w:eastAsia="Times New Roman" w:hAnsi="HelveticaNeue"/>
          <w:color w:val="000000"/>
          <w:sz w:val="20"/>
          <w:szCs w:val="20"/>
        </w:rPr>
        <w:t>is</w:t>
      </w:r>
      <w:r w:rsidR="000D4535"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for RR</w:t>
      </w:r>
      <w:r w:rsidR="00627BB0" w:rsidRPr="0063730D">
        <w:rPr>
          <w:rFonts w:ascii="HelveticaNeue" w:eastAsia="Times New Roman" w:hAnsi="HelveticaNeue"/>
          <w:color w:val="000000"/>
          <w:sz w:val="20"/>
          <w:szCs w:val="20"/>
        </w:rPr>
        <w:t xml:space="preserve"> are shown only for the statistically significant predictor variables.</w:t>
      </w:r>
      <w:bookmarkEnd w:id="4"/>
    </w:p>
    <w:p w14:paraId="12A4F2C8" w14:textId="4CCFD521" w:rsidR="00722FDF" w:rsidRDefault="00722FDF" w:rsidP="007A6F42">
      <w:pPr>
        <w:jc w:val="center"/>
        <w:rPr>
          <w:rFonts w:ascii="HelveticaNeue" w:eastAsia="Times New Roman" w:hAnsi="HelveticaNeue"/>
          <w:color w:val="000000"/>
          <w:sz w:val="24"/>
          <w:szCs w:val="24"/>
        </w:rPr>
      </w:pPr>
    </w:p>
    <w:p w14:paraId="5C3033A5" w14:textId="77777777" w:rsidR="00A44557" w:rsidRPr="0063730D" w:rsidRDefault="00A44557" w:rsidP="007A6F42">
      <w:pPr>
        <w:jc w:val="center"/>
        <w:rPr>
          <w:rFonts w:ascii="HelveticaNeue" w:eastAsia="Times New Roman" w:hAnsi="HelveticaNeue"/>
          <w:color w:val="000000"/>
          <w:sz w:val="24"/>
          <w:szCs w:val="24"/>
        </w:rPr>
      </w:pPr>
    </w:p>
    <w:p w14:paraId="4D528C66" w14:textId="5D0CCBA1" w:rsidR="00F00200" w:rsidRPr="0063730D" w:rsidRDefault="00F00200" w:rsidP="00FF101D">
      <w:pPr>
        <w:rPr>
          <w:rFonts w:ascii="HelveticaNeue" w:eastAsia="Times New Roman" w:hAnsi="HelveticaNeue"/>
          <w:color w:val="000000"/>
        </w:rPr>
      </w:pPr>
      <w:r w:rsidRPr="0063730D">
        <w:rPr>
          <w:rFonts w:ascii="HelveticaNeue" w:eastAsia="Times New Roman" w:hAnsi="HelveticaNeue"/>
          <w:color w:val="000000"/>
        </w:rPr>
        <w:t>References:</w:t>
      </w:r>
    </w:p>
    <w:p w14:paraId="184059A5" w14:textId="2169C7C4" w:rsidR="00FB707F" w:rsidRDefault="001854DB" w:rsidP="00FB707F">
      <w:pPr>
        <w:pStyle w:val="ListParagraph"/>
        <w:numPr>
          <w:ilvl w:val="0"/>
          <w:numId w:val="1"/>
        </w:numPr>
        <w:rPr>
          <w:rFonts w:ascii="HelveticaNeue" w:hAnsi="HelveticaNeue" w:cs="Open Sans"/>
          <w:shd w:val="clear" w:color="auto" w:fill="FFFFFF"/>
        </w:rPr>
      </w:pPr>
      <w:r w:rsidRPr="00CF7559">
        <w:rPr>
          <w:rFonts w:ascii="HelveticaNeue" w:hAnsi="HelveticaNeue"/>
        </w:rPr>
        <w:t xml:space="preserve">Deng et al. </w:t>
      </w:r>
      <w:r w:rsidRPr="00CF7559">
        <w:rPr>
          <w:rFonts w:ascii="HelveticaNeue" w:hAnsi="HelveticaNeue" w:cs="Open Sans"/>
          <w:shd w:val="clear" w:color="auto" w:fill="FFFFFF"/>
        </w:rPr>
        <w:t xml:space="preserve">Residual Shunt After Patent Foramen </w:t>
      </w:r>
      <w:proofErr w:type="spellStart"/>
      <w:r w:rsidRPr="00CF7559">
        <w:rPr>
          <w:rFonts w:ascii="HelveticaNeue" w:hAnsi="HelveticaNeue" w:cs="Open Sans"/>
          <w:shd w:val="clear" w:color="auto" w:fill="FFFFFF"/>
        </w:rPr>
        <w:t>Ovale</w:t>
      </w:r>
      <w:proofErr w:type="spellEnd"/>
      <w:r w:rsidRPr="00CF7559">
        <w:rPr>
          <w:rFonts w:ascii="HelveticaNeue" w:hAnsi="HelveticaNeue" w:cs="Open Sans"/>
          <w:shd w:val="clear" w:color="auto" w:fill="FFFFFF"/>
        </w:rPr>
        <w:t xml:space="preserve"> Closure and Long-Term Stroke Recurrence: A Prospective Cohort Study. </w:t>
      </w:r>
      <w:r w:rsidRPr="001854DB">
        <w:rPr>
          <w:rStyle w:val="Emphasis"/>
          <w:rFonts w:ascii="HelveticaNeue" w:hAnsi="HelveticaNeue" w:cs="Open Sans"/>
          <w:shd w:val="clear" w:color="auto" w:fill="FFFFFF"/>
        </w:rPr>
        <w:t>Ann Intern Med</w:t>
      </w:r>
      <w:r w:rsidRPr="00CF7559">
        <w:rPr>
          <w:rFonts w:ascii="HelveticaNeue" w:hAnsi="HelveticaNeue" w:cs="Open Sans"/>
          <w:shd w:val="clear" w:color="auto" w:fill="FFFFFF"/>
        </w:rPr>
        <w:t> 2020; 172:717-725.</w:t>
      </w:r>
    </w:p>
    <w:p w14:paraId="2B470EA4" w14:textId="6B844293" w:rsidR="00940777" w:rsidRPr="00940777" w:rsidRDefault="000722D3" w:rsidP="00940777">
      <w:pPr>
        <w:pStyle w:val="ListParagraph"/>
        <w:numPr>
          <w:ilvl w:val="0"/>
          <w:numId w:val="1"/>
        </w:numPr>
        <w:rPr>
          <w:rFonts w:ascii="HelveticaNeue" w:eastAsia="Times New Roman" w:hAnsi="HelveticaNeue" w:cstheme="minorHAnsi"/>
          <w:color w:val="000000"/>
        </w:rPr>
      </w:pPr>
      <w:r w:rsidRPr="00CF7559">
        <w:rPr>
          <w:rFonts w:ascii="HelveticaNeue" w:hAnsi="HelveticaNeue" w:cstheme="minorHAnsi"/>
          <w:color w:val="000000"/>
        </w:rPr>
        <w:t xml:space="preserve">Achille </w:t>
      </w:r>
      <w:proofErr w:type="spellStart"/>
      <w:r w:rsidRPr="00CF7559">
        <w:rPr>
          <w:rFonts w:ascii="HelveticaNeue" w:hAnsi="HelveticaNeue" w:cstheme="minorHAnsi"/>
          <w:color w:val="000000"/>
        </w:rPr>
        <w:t>Gaspardone</w:t>
      </w:r>
      <w:proofErr w:type="spellEnd"/>
      <w:r w:rsidRPr="00CF7559">
        <w:rPr>
          <w:rFonts w:ascii="HelveticaNeue" w:hAnsi="HelveticaNeue" w:cstheme="minorHAnsi"/>
          <w:color w:val="000000"/>
        </w:rPr>
        <w:t xml:space="preserve"> et al. Predictors of residual right to left shunt after percutaneous suture-mediated patent foramen ovalis closure. </w:t>
      </w:r>
      <w:r w:rsidRPr="00CF7559">
        <w:rPr>
          <w:rFonts w:ascii="HelveticaNeue" w:hAnsi="HelveticaNeue" w:cstheme="minorHAnsi"/>
          <w:i/>
          <w:iCs/>
          <w:color w:val="000000"/>
        </w:rPr>
        <w:t>JACC</w:t>
      </w:r>
      <w:r w:rsidRPr="00CF7559">
        <w:rPr>
          <w:rFonts w:ascii="HelveticaNeue" w:hAnsi="HelveticaNeue" w:cstheme="minorHAnsi"/>
          <w:color w:val="000000"/>
        </w:rPr>
        <w:t xml:space="preserve"> Vol 13. No 18. 2020</w:t>
      </w:r>
      <w:r w:rsidR="00940777">
        <w:rPr>
          <w:rFonts w:ascii="HelveticaNeue" w:hAnsi="HelveticaNeue" w:cstheme="minorHAnsi"/>
          <w:color w:val="000000"/>
        </w:rPr>
        <w:t>.</w:t>
      </w:r>
    </w:p>
    <w:p w14:paraId="2EE22473" w14:textId="75FBB1D7" w:rsidR="00FB707F" w:rsidRPr="00940777" w:rsidRDefault="00077925" w:rsidP="00940777">
      <w:pPr>
        <w:pStyle w:val="ListParagraph"/>
        <w:numPr>
          <w:ilvl w:val="0"/>
          <w:numId w:val="1"/>
        </w:numPr>
        <w:rPr>
          <w:rFonts w:ascii="HelveticaNeue" w:hAnsi="HelveticaNeue" w:cstheme="minorHAnsi"/>
          <w:color w:val="000000"/>
        </w:rPr>
      </w:pPr>
      <w:r w:rsidRPr="00940777">
        <w:rPr>
          <w:rFonts w:ascii="HelveticaNeue" w:hAnsi="HelveticaNeue" w:cstheme="minorHAnsi"/>
          <w:color w:val="000000"/>
        </w:rPr>
        <w:t xml:space="preserve">Bernhard Meier. Closure of patent foramen </w:t>
      </w:r>
      <w:proofErr w:type="spellStart"/>
      <w:r w:rsidRPr="00940777">
        <w:rPr>
          <w:rFonts w:ascii="HelveticaNeue" w:hAnsi="HelveticaNeue" w:cstheme="minorHAnsi"/>
          <w:color w:val="000000"/>
        </w:rPr>
        <w:t>ovale</w:t>
      </w:r>
      <w:proofErr w:type="spellEnd"/>
      <w:r w:rsidRPr="00940777">
        <w:rPr>
          <w:rFonts w:ascii="HelveticaNeue" w:hAnsi="HelveticaNeue" w:cstheme="minorHAnsi"/>
          <w:color w:val="000000"/>
        </w:rPr>
        <w:t xml:space="preserve">: technique, pitfalls, complications, and follow up. </w:t>
      </w:r>
      <w:r w:rsidRPr="00940777">
        <w:rPr>
          <w:rFonts w:ascii="HelveticaNeue" w:hAnsi="HelveticaNeue" w:cstheme="minorHAnsi"/>
          <w:i/>
          <w:iCs/>
          <w:color w:val="000000"/>
        </w:rPr>
        <w:t>Heart</w:t>
      </w:r>
      <w:r w:rsidRPr="00940777">
        <w:rPr>
          <w:rFonts w:ascii="HelveticaNeue" w:hAnsi="HelveticaNeue" w:cstheme="minorHAnsi"/>
          <w:color w:val="000000"/>
        </w:rPr>
        <w:t>. 2005 Apr; 91(4):444-448.</w:t>
      </w:r>
    </w:p>
    <w:p w14:paraId="4BB23F50" w14:textId="77777777" w:rsidR="003935FC" w:rsidRDefault="00A13BD8" w:rsidP="00CF7559">
      <w:pPr>
        <w:pStyle w:val="ListParagraph"/>
        <w:numPr>
          <w:ilvl w:val="0"/>
          <w:numId w:val="1"/>
        </w:numPr>
        <w:rPr>
          <w:rFonts w:ascii="HelveticaNeue" w:hAnsi="HelveticaNeue" w:cstheme="minorHAnsi"/>
          <w:color w:val="212121"/>
          <w:shd w:val="clear" w:color="auto" w:fill="FFFFFF"/>
        </w:rPr>
      </w:pPr>
      <w:proofErr w:type="spellStart"/>
      <w:r w:rsidRPr="00CF7559">
        <w:rPr>
          <w:rFonts w:ascii="HelveticaNeue" w:hAnsi="HelveticaNeue" w:cstheme="minorHAnsi"/>
          <w:color w:val="212121"/>
          <w:shd w:val="clear" w:color="auto" w:fill="FFFFFF"/>
        </w:rPr>
        <w:t>Kasner</w:t>
      </w:r>
      <w:proofErr w:type="spellEnd"/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 SE et al. Patent foramen </w:t>
      </w:r>
      <w:proofErr w:type="spellStart"/>
      <w:r w:rsidRPr="00CF7559">
        <w:rPr>
          <w:rFonts w:ascii="HelveticaNeue" w:hAnsi="HelveticaNeue" w:cstheme="minorHAnsi"/>
          <w:color w:val="212121"/>
          <w:shd w:val="clear" w:color="auto" w:fill="FFFFFF"/>
        </w:rPr>
        <w:t>ovale</w:t>
      </w:r>
      <w:proofErr w:type="spellEnd"/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 closure with GORE HELEX or CARDIOFORM Septal </w:t>
      </w:r>
      <w:proofErr w:type="spellStart"/>
      <w:r w:rsidRPr="00CF7559">
        <w:rPr>
          <w:rFonts w:ascii="HelveticaNeue" w:hAnsi="HelveticaNeue" w:cstheme="minorHAnsi"/>
          <w:color w:val="212121"/>
          <w:shd w:val="clear" w:color="auto" w:fill="FFFFFF"/>
        </w:rPr>
        <w:t>Occluder</w:t>
      </w:r>
      <w:proofErr w:type="spellEnd"/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 vs. antiplatelet therapy for reduction of recurrent stroke or new brain infarct in patients with prior cryptogenic stroke: Design of the randomized Gore REDUCE Clinical Study. </w:t>
      </w:r>
      <w:r w:rsidRPr="00CF7559">
        <w:rPr>
          <w:rFonts w:ascii="HelveticaNeue" w:hAnsi="HelveticaNeue" w:cstheme="minorHAnsi"/>
          <w:i/>
          <w:iCs/>
          <w:color w:val="212121"/>
          <w:shd w:val="clear" w:color="auto" w:fill="FFFFFF"/>
        </w:rPr>
        <w:t>Int J Stroke</w:t>
      </w:r>
      <w:r w:rsidRPr="00CF7559">
        <w:rPr>
          <w:rFonts w:ascii="HelveticaNeue" w:hAnsi="HelveticaNeue" w:cstheme="minorHAnsi"/>
          <w:color w:val="212121"/>
          <w:shd w:val="clear" w:color="auto" w:fill="FFFFFF"/>
        </w:rPr>
        <w:t>. 2017 Dec;12(9):998-1004.</w:t>
      </w:r>
    </w:p>
    <w:p w14:paraId="4EECD640" w14:textId="43C3DAEB" w:rsidR="00077925" w:rsidRPr="00CF7559" w:rsidRDefault="00A13BD8" w:rsidP="00CF7559">
      <w:pPr>
        <w:pStyle w:val="ListParagraph"/>
        <w:numPr>
          <w:ilvl w:val="0"/>
          <w:numId w:val="1"/>
        </w:numPr>
        <w:rPr>
          <w:rFonts w:ascii="HelveticaNeue" w:hAnsi="HelveticaNeue" w:cstheme="minorHAnsi"/>
          <w:color w:val="212121"/>
          <w:shd w:val="clear" w:color="auto" w:fill="FFFFFF"/>
        </w:rPr>
      </w:pPr>
      <w:proofErr w:type="spellStart"/>
      <w:r w:rsidRPr="00CF7559">
        <w:rPr>
          <w:rFonts w:ascii="HelveticaNeue" w:hAnsi="HelveticaNeue" w:cstheme="minorHAnsi"/>
          <w:color w:val="212121"/>
          <w:shd w:val="clear" w:color="auto" w:fill="FFFFFF"/>
        </w:rPr>
        <w:t>Turc</w:t>
      </w:r>
      <w:proofErr w:type="spellEnd"/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 G et al; CLOSE Investigators. Closure, Anticoagulation, or Antiplatelet Therapy for Cryptogenic Stroke with Patent Foramen </w:t>
      </w:r>
      <w:proofErr w:type="spellStart"/>
      <w:r w:rsidRPr="00CF7559">
        <w:rPr>
          <w:rFonts w:ascii="HelveticaNeue" w:hAnsi="HelveticaNeue" w:cstheme="minorHAnsi"/>
          <w:color w:val="212121"/>
          <w:shd w:val="clear" w:color="auto" w:fill="FFFFFF"/>
        </w:rPr>
        <w:t>Ovale</w:t>
      </w:r>
      <w:proofErr w:type="spellEnd"/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: Systematic Review of Randomized Trials, Sequential Meta-Analysis, and New Insights </w:t>
      </w:r>
      <w:r w:rsidR="004A0DD1" w:rsidRPr="00CF7559">
        <w:rPr>
          <w:rFonts w:ascii="HelveticaNeue" w:hAnsi="HelveticaNeue" w:cstheme="minorHAnsi"/>
          <w:color w:val="212121"/>
          <w:shd w:val="clear" w:color="auto" w:fill="FFFFFF"/>
        </w:rPr>
        <w:t>from</w:t>
      </w:r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 the CLOSE Study. </w:t>
      </w:r>
      <w:r w:rsidRPr="00CF7559">
        <w:rPr>
          <w:rFonts w:ascii="HelveticaNeue" w:hAnsi="HelveticaNeue" w:cstheme="minorHAnsi"/>
          <w:i/>
          <w:iCs/>
          <w:color w:val="212121"/>
          <w:shd w:val="clear" w:color="auto" w:fill="FFFFFF"/>
        </w:rPr>
        <w:t>J Am Heart Assoc.</w:t>
      </w:r>
      <w:r w:rsidRPr="00CF7559">
        <w:rPr>
          <w:rFonts w:ascii="HelveticaNeue" w:hAnsi="HelveticaNeue" w:cstheme="minorHAnsi"/>
          <w:color w:val="212121"/>
          <w:shd w:val="clear" w:color="auto" w:fill="FFFFFF"/>
        </w:rPr>
        <w:t xml:space="preserve"> 2018 Jun 17;7(12). </w:t>
      </w:r>
    </w:p>
    <w:p w14:paraId="1BBA9CE6" w14:textId="2DBF9E74" w:rsidR="007C242D" w:rsidRPr="0063730D" w:rsidRDefault="00C53E77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6373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A8050" wp14:editId="5E61ACFA">
                <wp:simplePos x="0" y="0"/>
                <wp:positionH relativeFrom="margin">
                  <wp:posOffset>2609850</wp:posOffset>
                </wp:positionH>
                <wp:positionV relativeFrom="paragraph">
                  <wp:posOffset>2353945</wp:posOffset>
                </wp:positionV>
                <wp:extent cx="800100" cy="572135"/>
                <wp:effectExtent l="0" t="0" r="0" b="0"/>
                <wp:wrapNone/>
                <wp:docPr id="2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8A1A3" w14:textId="66B5DB18" w:rsidR="00C53E77" w:rsidRPr="00C53E77" w:rsidRDefault="00C53E77" w:rsidP="00C53E77">
                            <w:pPr>
                              <w:spacing w:line="254" w:lineRule="auto"/>
                              <w:jc w:val="center"/>
                              <w:rPr>
                                <w:rFonts w:ascii="Calibri" w:eastAsia="Times New Roman" w:hAnsi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3E77">
                              <w:rPr>
                                <w:rFonts w:ascii="Calibri" w:eastAsia="Times New Roman" w:hAnsi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Aortic Rim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CA805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5.5pt;margin-top:185.35pt;width:63pt;height:45.0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" fillcolor="window" stroked="f" strokeweight=".5pt">
                <v:textbox>
                  <w:txbxContent>
                    <w:p w14:paraId="0328A1A3" w14:textId="66B5DB18" w:rsidR="00C53E77" w:rsidRPr="00C53E77" w:rsidRDefault="00C53E77" w:rsidP="00C53E77">
                      <w:pPr>
                        <w:spacing w:line="254" w:lineRule="auto"/>
                        <w:jc w:val="center"/>
                        <w:rPr>
                          <w:rFonts w:ascii="Calibri" w:eastAsia="Times New Roman" w:hAnsi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3E77">
                        <w:rPr>
                          <w:rFonts w:ascii="Calibri" w:eastAsia="Times New Roman" w:hAnsi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Aortic 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3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D3438" wp14:editId="682F5E58">
                <wp:simplePos x="0" y="0"/>
                <wp:positionH relativeFrom="margin">
                  <wp:posOffset>2505075</wp:posOffset>
                </wp:positionH>
                <wp:positionV relativeFrom="paragraph">
                  <wp:posOffset>2506345</wp:posOffset>
                </wp:positionV>
                <wp:extent cx="1524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E03F6" id="Straight Connector 2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25pt,197.35pt" to="209.2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" strokecolor="#4472c4" strokeweight=".5pt">
                <v:stroke dashstyle="longDash" joinstyle="miter"/>
                <w10:wrap anchorx="margin"/>
              </v:line>
            </w:pict>
          </mc:Fallback>
        </mc:AlternateContent>
      </w:r>
      <w:r w:rsidRPr="006373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04C0B" wp14:editId="5DBAD1B0">
                <wp:simplePos x="0" y="0"/>
                <wp:positionH relativeFrom="margin">
                  <wp:posOffset>3351530</wp:posOffset>
                </wp:positionH>
                <wp:positionV relativeFrom="paragraph">
                  <wp:posOffset>2515869</wp:posOffset>
                </wp:positionV>
                <wp:extent cx="19177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7DFB" id="Straight Connector 2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3.9pt,198.1pt" to="279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" strokecolor="#4472c4" strokeweight=".5pt">
                <v:stroke dashstyle="longDash" joinstyle="miter"/>
                <w10:wrap anchorx="margin"/>
              </v:line>
            </w:pict>
          </mc:Fallback>
        </mc:AlternateContent>
      </w:r>
      <w:r w:rsidRPr="006373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E7B11" wp14:editId="38329826">
                <wp:simplePos x="0" y="0"/>
                <wp:positionH relativeFrom="column">
                  <wp:posOffset>3514724</wp:posOffset>
                </wp:positionH>
                <wp:positionV relativeFrom="paragraph">
                  <wp:posOffset>1772920</wp:posOffset>
                </wp:positionV>
                <wp:extent cx="9525" cy="7143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7E070"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39.6pt" to="277.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" strokecolor="#4472c4" strokeweight=".5pt">
                <v:stroke dashstyle="longDash" joinstyle="miter"/>
              </v:line>
            </w:pict>
          </mc:Fallback>
        </mc:AlternateContent>
      </w:r>
    </w:p>
    <w:p w14:paraId="52F4550F" w14:textId="36A6722B" w:rsidR="00AF3A1F" w:rsidRDefault="007C242D">
      <w:pPr>
        <w:rPr>
          <w:rFonts w:ascii="HelveticaNeue" w:hAnsi="HelveticaNeue"/>
          <w:sz w:val="24"/>
          <w:szCs w:val="24"/>
        </w:rPr>
      </w:pPr>
      <w:r w:rsidRPr="0063730D">
        <w:rPr>
          <w:rFonts w:ascii="HelveticaNeue" w:hAnsi="HelveticaNeue"/>
          <w:noProof/>
          <w:sz w:val="24"/>
          <w:szCs w:val="24"/>
        </w:rPr>
        <w:lastRenderedPageBreak/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92635A4" wp14:editId="2DC0BAD6">
                <wp:simplePos x="0" y="0"/>
                <wp:positionH relativeFrom="column">
                  <wp:posOffset>3324765</wp:posOffset>
                </wp:positionH>
                <wp:positionV relativeFrom="paragraph">
                  <wp:posOffset>256805</wp:posOffset>
                </wp:positionV>
                <wp:extent cx="27720" cy="20160"/>
                <wp:effectExtent l="57150" t="38100" r="48895" b="565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7720" cy="20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92635A4" wp14:editId="2DC0BAD6">
                <wp:simplePos x="0" y="0"/>
                <wp:positionH relativeFrom="column">
                  <wp:posOffset>3324765</wp:posOffset>
                </wp:positionH>
                <wp:positionV relativeFrom="paragraph">
                  <wp:posOffset>256805</wp:posOffset>
                </wp:positionV>
                <wp:extent cx="27720" cy="20160"/>
                <wp:effectExtent l="57150" t="38100" r="48895" b="56515"/>
                <wp:wrapNone/>
                <wp:docPr id="12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nk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" cy="23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63730D">
        <w:rPr>
          <w:rFonts w:ascii="HelveticaNeue" w:hAnsi="HelveticaNeue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0E90AEB" wp14:editId="2B519803">
                <wp:simplePos x="0" y="0"/>
                <wp:positionH relativeFrom="column">
                  <wp:posOffset>3600165</wp:posOffset>
                </wp:positionH>
                <wp:positionV relativeFrom="paragraph">
                  <wp:posOffset>276605</wp:posOffset>
                </wp:positionV>
                <wp:extent cx="360" cy="360"/>
                <wp:effectExtent l="57150" t="38100" r="3810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0E90AEB" wp14:editId="2B519803">
                <wp:simplePos x="0" y="0"/>
                <wp:positionH relativeFrom="column">
                  <wp:posOffset>3600165</wp:posOffset>
                </wp:positionH>
                <wp:positionV relativeFrom="paragraph">
                  <wp:posOffset>276605</wp:posOffset>
                </wp:positionV>
                <wp:extent cx="360" cy="360"/>
                <wp:effectExtent l="57150" t="38100" r="3810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nk 1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B04CB9" w14:textId="1ECE8F03" w:rsidR="00412E48" w:rsidRPr="002D304C" w:rsidRDefault="00412E48">
      <w:pPr>
        <w:rPr>
          <w:rFonts w:ascii="HelveticaNeue" w:hAnsi="HelveticaNeue"/>
          <w:sz w:val="24"/>
          <w:szCs w:val="24"/>
        </w:rPr>
      </w:pPr>
    </w:p>
    <w:sectPr w:rsidR="00412E48" w:rsidRPr="002D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276F"/>
    <w:multiLevelType w:val="hybridMultilevel"/>
    <w:tmpl w:val="78DC2C88"/>
    <w:lvl w:ilvl="0" w:tplc="FE36F0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1D"/>
    <w:rsid w:val="0000345C"/>
    <w:rsid w:val="0001237F"/>
    <w:rsid w:val="00012D52"/>
    <w:rsid w:val="00036BDE"/>
    <w:rsid w:val="000511DB"/>
    <w:rsid w:val="00057743"/>
    <w:rsid w:val="0006203E"/>
    <w:rsid w:val="00064E5B"/>
    <w:rsid w:val="000722D3"/>
    <w:rsid w:val="00077925"/>
    <w:rsid w:val="00083BA4"/>
    <w:rsid w:val="00093A99"/>
    <w:rsid w:val="00097978"/>
    <w:rsid w:val="000A1383"/>
    <w:rsid w:val="000B2D54"/>
    <w:rsid w:val="000D0CB7"/>
    <w:rsid w:val="000D4535"/>
    <w:rsid w:val="000E0126"/>
    <w:rsid w:val="000E644A"/>
    <w:rsid w:val="0012700E"/>
    <w:rsid w:val="00127765"/>
    <w:rsid w:val="00141347"/>
    <w:rsid w:val="001854DB"/>
    <w:rsid w:val="00190EE0"/>
    <w:rsid w:val="001912D9"/>
    <w:rsid w:val="0019665A"/>
    <w:rsid w:val="001A3252"/>
    <w:rsid w:val="001B4B7C"/>
    <w:rsid w:val="001D5ACB"/>
    <w:rsid w:val="001F27B2"/>
    <w:rsid w:val="001F348C"/>
    <w:rsid w:val="00243832"/>
    <w:rsid w:val="00272F25"/>
    <w:rsid w:val="002C6380"/>
    <w:rsid w:val="002D13C9"/>
    <w:rsid w:val="002D304C"/>
    <w:rsid w:val="003935FC"/>
    <w:rsid w:val="003A55E4"/>
    <w:rsid w:val="003A7482"/>
    <w:rsid w:val="003C1C89"/>
    <w:rsid w:val="003D26BA"/>
    <w:rsid w:val="003E6F87"/>
    <w:rsid w:val="003F1620"/>
    <w:rsid w:val="003F2C03"/>
    <w:rsid w:val="003F3062"/>
    <w:rsid w:val="0040283E"/>
    <w:rsid w:val="00412E48"/>
    <w:rsid w:val="00452D94"/>
    <w:rsid w:val="004634F7"/>
    <w:rsid w:val="004710BF"/>
    <w:rsid w:val="0047509D"/>
    <w:rsid w:val="004828D5"/>
    <w:rsid w:val="004A0DD1"/>
    <w:rsid w:val="004B78E2"/>
    <w:rsid w:val="004D6D2C"/>
    <w:rsid w:val="00507D3F"/>
    <w:rsid w:val="005651F5"/>
    <w:rsid w:val="005A03D4"/>
    <w:rsid w:val="005B02B2"/>
    <w:rsid w:val="005B72F3"/>
    <w:rsid w:val="005E72FF"/>
    <w:rsid w:val="005F7843"/>
    <w:rsid w:val="0060447D"/>
    <w:rsid w:val="006229B3"/>
    <w:rsid w:val="00627BB0"/>
    <w:rsid w:val="0063730D"/>
    <w:rsid w:val="006417E2"/>
    <w:rsid w:val="006574AF"/>
    <w:rsid w:val="0068640A"/>
    <w:rsid w:val="006A2E0E"/>
    <w:rsid w:val="006B5EF7"/>
    <w:rsid w:val="006C4E4D"/>
    <w:rsid w:val="00702AA6"/>
    <w:rsid w:val="007173F0"/>
    <w:rsid w:val="00722FDF"/>
    <w:rsid w:val="00764D84"/>
    <w:rsid w:val="00772EAB"/>
    <w:rsid w:val="007A6F42"/>
    <w:rsid w:val="007B368E"/>
    <w:rsid w:val="007C242D"/>
    <w:rsid w:val="007D7623"/>
    <w:rsid w:val="008033F2"/>
    <w:rsid w:val="0083377B"/>
    <w:rsid w:val="00841AE7"/>
    <w:rsid w:val="008434B7"/>
    <w:rsid w:val="00847E27"/>
    <w:rsid w:val="00876623"/>
    <w:rsid w:val="0088660B"/>
    <w:rsid w:val="00894FDB"/>
    <w:rsid w:val="008A2076"/>
    <w:rsid w:val="008A7352"/>
    <w:rsid w:val="008C1477"/>
    <w:rsid w:val="008D42DD"/>
    <w:rsid w:val="00910A96"/>
    <w:rsid w:val="00940777"/>
    <w:rsid w:val="009E5F87"/>
    <w:rsid w:val="00A07591"/>
    <w:rsid w:val="00A13BD8"/>
    <w:rsid w:val="00A331A7"/>
    <w:rsid w:val="00A41C99"/>
    <w:rsid w:val="00A44101"/>
    <w:rsid w:val="00A44557"/>
    <w:rsid w:val="00A449E0"/>
    <w:rsid w:val="00A70D64"/>
    <w:rsid w:val="00A7370C"/>
    <w:rsid w:val="00AB493C"/>
    <w:rsid w:val="00AD6F6D"/>
    <w:rsid w:val="00B058C6"/>
    <w:rsid w:val="00B1058A"/>
    <w:rsid w:val="00B203D2"/>
    <w:rsid w:val="00B36D08"/>
    <w:rsid w:val="00B43B6B"/>
    <w:rsid w:val="00B44B0C"/>
    <w:rsid w:val="00B81774"/>
    <w:rsid w:val="00B83DEE"/>
    <w:rsid w:val="00B96E3E"/>
    <w:rsid w:val="00BD0C1F"/>
    <w:rsid w:val="00BD2C82"/>
    <w:rsid w:val="00BF4EFF"/>
    <w:rsid w:val="00C0532E"/>
    <w:rsid w:val="00C11565"/>
    <w:rsid w:val="00C4005A"/>
    <w:rsid w:val="00C53E77"/>
    <w:rsid w:val="00C54D93"/>
    <w:rsid w:val="00C81C52"/>
    <w:rsid w:val="00CB0DF7"/>
    <w:rsid w:val="00CC085E"/>
    <w:rsid w:val="00CF7559"/>
    <w:rsid w:val="00D115E8"/>
    <w:rsid w:val="00D450C1"/>
    <w:rsid w:val="00D7722B"/>
    <w:rsid w:val="00D80F3C"/>
    <w:rsid w:val="00D854BC"/>
    <w:rsid w:val="00D974A5"/>
    <w:rsid w:val="00DA28ED"/>
    <w:rsid w:val="00DC75B9"/>
    <w:rsid w:val="00E12FB5"/>
    <w:rsid w:val="00E1358A"/>
    <w:rsid w:val="00E25495"/>
    <w:rsid w:val="00E40D86"/>
    <w:rsid w:val="00E6480D"/>
    <w:rsid w:val="00E6764A"/>
    <w:rsid w:val="00E960F4"/>
    <w:rsid w:val="00EA1FD1"/>
    <w:rsid w:val="00EE22B7"/>
    <w:rsid w:val="00EF5AA2"/>
    <w:rsid w:val="00F00200"/>
    <w:rsid w:val="00F01713"/>
    <w:rsid w:val="00F06709"/>
    <w:rsid w:val="00F47B3C"/>
    <w:rsid w:val="00F539D8"/>
    <w:rsid w:val="00F93F7C"/>
    <w:rsid w:val="00F942A0"/>
    <w:rsid w:val="00FB0AAE"/>
    <w:rsid w:val="00FB707F"/>
    <w:rsid w:val="00FB782C"/>
    <w:rsid w:val="00FF09F7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4D45"/>
  <w15:chartTrackingRefBased/>
  <w15:docId w15:val="{50DB8F8C-8F64-4D8B-8362-225B2FF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7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3">
    <w:name w:val="Plain Table 3"/>
    <w:basedOn w:val="TableNormal"/>
    <w:uiPriority w:val="43"/>
    <w:rsid w:val="00722F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CC085E"/>
    <w:rPr>
      <w:i/>
      <w:iCs/>
    </w:rPr>
  </w:style>
  <w:style w:type="paragraph" w:styleId="ListParagraph">
    <w:name w:val="List Paragraph"/>
    <w:basedOn w:val="Normal"/>
    <w:uiPriority w:val="34"/>
    <w:qFormat/>
    <w:rsid w:val="0018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6T15:10:03.8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77 55,'-4'0,"-7"-4,-1-7,-2 0,-5-4,3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6T15:09:55.7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FFE9-1B6B-4A11-BB60-ACD3A04E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Kristen N</dc:creator>
  <cp:keywords/>
  <dc:description/>
  <cp:lastModifiedBy>Kristen</cp:lastModifiedBy>
  <cp:revision>61</cp:revision>
  <dcterms:created xsi:type="dcterms:W3CDTF">2021-09-08T21:14:00Z</dcterms:created>
  <dcterms:modified xsi:type="dcterms:W3CDTF">2021-09-15T01:30:00Z</dcterms:modified>
</cp:coreProperties>
</file>