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8241" w14:textId="288ED0EE" w:rsidR="00141347" w:rsidRPr="00CB76DF" w:rsidRDefault="0014436D" w:rsidP="000D0CB7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RETROSPECTIVE ANALYSIS </w:t>
      </w:r>
      <w:r w:rsidR="00FB1316">
        <w:rPr>
          <w:b/>
          <w:bCs/>
          <w:color w:val="000000"/>
          <w:sz w:val="36"/>
          <w:szCs w:val="36"/>
        </w:rPr>
        <w:t>OF</w:t>
      </w:r>
      <w:r w:rsidR="009A3ABF">
        <w:rPr>
          <w:b/>
          <w:bCs/>
          <w:color w:val="000000"/>
          <w:sz w:val="36"/>
          <w:szCs w:val="36"/>
        </w:rPr>
        <w:t xml:space="preserve"> PERCUTANEOUS</w:t>
      </w:r>
      <w:r w:rsidR="009A3ABF" w:rsidRPr="00CB76DF">
        <w:rPr>
          <w:b/>
          <w:bCs/>
          <w:color w:val="000000"/>
          <w:sz w:val="36"/>
          <w:szCs w:val="36"/>
        </w:rPr>
        <w:t xml:space="preserve"> </w:t>
      </w:r>
      <w:r w:rsidR="00141347" w:rsidRPr="00CB76DF">
        <w:rPr>
          <w:b/>
          <w:bCs/>
          <w:color w:val="000000"/>
          <w:sz w:val="36"/>
          <w:szCs w:val="36"/>
        </w:rPr>
        <w:t xml:space="preserve">PATENT FORAMEN OVALE CLOSURE </w:t>
      </w:r>
      <w:r w:rsidR="00814399">
        <w:rPr>
          <w:b/>
          <w:bCs/>
          <w:color w:val="000000"/>
          <w:sz w:val="36"/>
          <w:szCs w:val="36"/>
        </w:rPr>
        <w:t>FOLLOWING CARDIAC SURGERY</w:t>
      </w:r>
    </w:p>
    <w:p w14:paraId="7916F17A" w14:textId="77777777" w:rsidR="00E76FBB" w:rsidRPr="00CB76DF" w:rsidRDefault="00E76FBB" w:rsidP="00E25495">
      <w:pPr>
        <w:pStyle w:val="Heading1"/>
        <w:shd w:val="clear" w:color="auto" w:fill="FFFFFF"/>
        <w:spacing w:line="264" w:lineRule="atLeast"/>
        <w:jc w:val="center"/>
        <w:rPr>
          <w:rFonts w:ascii="HelveticaNeue" w:hAnsi="HelveticaNeue" w:cs="Segoe UI"/>
          <w:color w:val="201F1E"/>
          <w:sz w:val="24"/>
          <w:szCs w:val="24"/>
          <w:shd w:val="clear" w:color="auto" w:fill="FFFFFF"/>
        </w:rPr>
      </w:pPr>
    </w:p>
    <w:p w14:paraId="4A2D6ACE" w14:textId="60BDD2BF" w:rsidR="002D304C" w:rsidRPr="0029600A" w:rsidRDefault="002D304C" w:rsidP="00E25495">
      <w:pPr>
        <w:pStyle w:val="Heading1"/>
        <w:shd w:val="clear" w:color="auto" w:fill="FFFFFF"/>
        <w:spacing w:line="264" w:lineRule="atLeast"/>
        <w:jc w:val="center"/>
        <w:rPr>
          <w:rFonts w:ascii="HelveticaNeue" w:eastAsia="Times New Roman" w:hAnsi="HelveticaNeue" w:cs="Times New Roman"/>
          <w:color w:val="000000"/>
          <w:kern w:val="36"/>
          <w:sz w:val="22"/>
          <w:szCs w:val="22"/>
        </w:rPr>
      </w:pPr>
      <w:r w:rsidRPr="0029600A">
        <w:rPr>
          <w:rFonts w:ascii="HelveticaNeue" w:hAnsi="HelveticaNeue" w:cs="Segoe UI"/>
          <w:color w:val="201F1E"/>
          <w:sz w:val="22"/>
          <w:szCs w:val="22"/>
          <w:shd w:val="clear" w:color="auto" w:fill="FFFFFF"/>
        </w:rPr>
        <w:t>Kristen N. Brown, MD,</w:t>
      </w:r>
      <w:r w:rsidR="0006203E" w:rsidRPr="0029600A">
        <w:rPr>
          <w:rFonts w:ascii="HelveticaNeue" w:hAnsi="HelveticaNeue" w:cs="Segoe UI"/>
          <w:color w:val="201F1E"/>
          <w:sz w:val="22"/>
          <w:szCs w:val="22"/>
          <w:shd w:val="clear" w:color="auto" w:fill="FFFFFF"/>
        </w:rPr>
        <w:t xml:space="preserve"> </w:t>
      </w:r>
      <w:proofErr w:type="spellStart"/>
      <w:r w:rsidR="0006203E" w:rsidRPr="0029600A">
        <w:rPr>
          <w:rFonts w:ascii="HelveticaNeue" w:hAnsi="HelveticaNeue"/>
          <w:color w:val="000000"/>
          <w:sz w:val="22"/>
          <w:szCs w:val="22"/>
        </w:rPr>
        <w:t>Gleb</w:t>
      </w:r>
      <w:proofErr w:type="spellEnd"/>
      <w:r w:rsidR="0006203E" w:rsidRPr="0029600A">
        <w:rPr>
          <w:rFonts w:ascii="HelveticaNeue" w:hAnsi="HelveticaNeue"/>
          <w:color w:val="000000"/>
          <w:sz w:val="22"/>
          <w:szCs w:val="22"/>
        </w:rPr>
        <w:t xml:space="preserve"> </w:t>
      </w:r>
      <w:r w:rsidR="00D122BA" w:rsidRPr="0029600A">
        <w:rPr>
          <w:rFonts w:ascii="HelveticaNeue" w:hAnsi="HelveticaNeue"/>
          <w:color w:val="000000"/>
          <w:sz w:val="22"/>
          <w:szCs w:val="22"/>
        </w:rPr>
        <w:t xml:space="preserve">R. </w:t>
      </w:r>
      <w:proofErr w:type="spellStart"/>
      <w:r w:rsidR="0006203E" w:rsidRPr="0029600A">
        <w:rPr>
          <w:rFonts w:ascii="HelveticaNeue" w:hAnsi="HelveticaNeue"/>
          <w:color w:val="000000"/>
          <w:sz w:val="22"/>
          <w:szCs w:val="22"/>
        </w:rPr>
        <w:t>Haynatzki</w:t>
      </w:r>
      <w:proofErr w:type="spellEnd"/>
      <w:r w:rsidR="0006203E" w:rsidRPr="0029600A">
        <w:rPr>
          <w:rFonts w:ascii="HelveticaNeue" w:hAnsi="HelveticaNeue"/>
          <w:color w:val="000000"/>
          <w:sz w:val="22"/>
          <w:szCs w:val="22"/>
        </w:rPr>
        <w:t>, PhD, DSc,</w:t>
      </w:r>
      <w:r w:rsidRPr="0029600A">
        <w:rPr>
          <w:rFonts w:ascii="HelveticaNeue" w:hAnsi="HelveticaNeue" w:cs="Segoe UI"/>
          <w:color w:val="201F1E"/>
          <w:sz w:val="22"/>
          <w:szCs w:val="22"/>
          <w:shd w:val="clear" w:color="auto" w:fill="FFFFFF"/>
        </w:rPr>
        <w:t xml:space="preserve"> </w:t>
      </w:r>
      <w:r w:rsidR="001D5ACB" w:rsidRPr="0029600A">
        <w:rPr>
          <w:rFonts w:ascii="HelveticaNeue" w:hAnsi="HelveticaNeue" w:cs="Segoe UI"/>
          <w:color w:val="201F1E"/>
          <w:sz w:val="22"/>
          <w:szCs w:val="22"/>
          <w:shd w:val="clear" w:color="auto" w:fill="FFFFFF"/>
        </w:rPr>
        <w:t xml:space="preserve">and </w:t>
      </w:r>
      <w:r w:rsidRPr="0029600A">
        <w:rPr>
          <w:rFonts w:ascii="HelveticaNeue" w:hAnsi="HelveticaNeue" w:cs="Segoe UI"/>
          <w:color w:val="201F1E"/>
          <w:sz w:val="22"/>
          <w:szCs w:val="22"/>
          <w:shd w:val="clear" w:color="auto" w:fill="FFFFFF"/>
        </w:rPr>
        <w:t xml:space="preserve">Andrew </w:t>
      </w:r>
      <w:proofErr w:type="spellStart"/>
      <w:r w:rsidRPr="0029600A">
        <w:rPr>
          <w:rFonts w:ascii="HelveticaNeue" w:hAnsi="HelveticaNeue" w:cstheme="minorHAnsi"/>
          <w:color w:val="201F1E"/>
          <w:sz w:val="22"/>
          <w:szCs w:val="22"/>
          <w:shd w:val="clear" w:color="auto" w:fill="FFFFFF"/>
        </w:rPr>
        <w:t>Goldsweig</w:t>
      </w:r>
      <w:proofErr w:type="spellEnd"/>
      <w:r w:rsidRPr="0029600A">
        <w:rPr>
          <w:rFonts w:ascii="HelveticaNeue" w:hAnsi="HelveticaNeue" w:cstheme="minorHAnsi"/>
          <w:color w:val="201F1E"/>
          <w:sz w:val="22"/>
          <w:szCs w:val="22"/>
          <w:shd w:val="clear" w:color="auto" w:fill="FFFFFF"/>
        </w:rPr>
        <w:t xml:space="preserve">, </w:t>
      </w:r>
      <w:r w:rsidR="00E25495" w:rsidRPr="0029600A">
        <w:rPr>
          <w:rFonts w:ascii="HelveticaNeue" w:eastAsia="Times New Roman" w:hAnsi="HelveticaNeue" w:cstheme="minorHAnsi"/>
          <w:color w:val="000000"/>
          <w:kern w:val="36"/>
          <w:sz w:val="22"/>
          <w:szCs w:val="22"/>
        </w:rPr>
        <w:t>MD, MS, FACC</w:t>
      </w:r>
    </w:p>
    <w:p w14:paraId="24929C7E" w14:textId="05467E5A" w:rsidR="002D304C" w:rsidRPr="0029600A" w:rsidRDefault="002D304C" w:rsidP="002D304C">
      <w:pPr>
        <w:spacing w:after="0" w:line="240" w:lineRule="auto"/>
        <w:jc w:val="center"/>
        <w:rPr>
          <w:rFonts w:ascii="HelveticaNeue" w:eastAsia="Times New Roman" w:hAnsi="HelveticaNeue"/>
          <w:color w:val="000000"/>
        </w:rPr>
      </w:pPr>
      <w:r w:rsidRPr="0029600A">
        <w:rPr>
          <w:rFonts w:ascii="HelveticaNeue" w:hAnsi="HelveticaNeue" w:cs="Segoe UI"/>
          <w:color w:val="201F1E"/>
          <w:shd w:val="clear" w:color="auto" w:fill="FFFFFF"/>
        </w:rPr>
        <w:t xml:space="preserve">Division of Cardiovascular Disease </w:t>
      </w:r>
      <w:r w:rsidR="00D122BA" w:rsidRPr="0029600A">
        <w:rPr>
          <w:rFonts w:ascii="HelveticaNeue" w:hAnsi="HelveticaNeue" w:cs="Segoe UI"/>
          <w:color w:val="201F1E"/>
          <w:shd w:val="clear" w:color="auto" w:fill="FFFFFF"/>
        </w:rPr>
        <w:t xml:space="preserve">and Biostatistics Department </w:t>
      </w:r>
      <w:r w:rsidRPr="0029600A">
        <w:rPr>
          <w:rFonts w:ascii="HelveticaNeue" w:hAnsi="HelveticaNeue" w:cs="Segoe UI"/>
          <w:color w:val="201F1E"/>
          <w:shd w:val="clear" w:color="auto" w:fill="FFFFFF"/>
        </w:rPr>
        <w:t>at the University of Nebraska Medical Center</w:t>
      </w:r>
      <w:r w:rsidR="008434B7" w:rsidRPr="0029600A">
        <w:rPr>
          <w:rFonts w:ascii="HelveticaNeue" w:hAnsi="HelveticaNeue" w:cs="Segoe UI"/>
          <w:color w:val="201F1E"/>
          <w:shd w:val="clear" w:color="auto" w:fill="FFFFFF"/>
        </w:rPr>
        <w:t>, Omaha, Nebraska</w:t>
      </w:r>
    </w:p>
    <w:p w14:paraId="6650C042" w14:textId="003ABC33" w:rsidR="0088660B" w:rsidRPr="00CB76DF" w:rsidRDefault="0088660B" w:rsidP="00FF101D">
      <w:pPr>
        <w:rPr>
          <w:rFonts w:ascii="HelveticaNeue" w:eastAsia="Times New Roman" w:hAnsi="HelveticaNeue"/>
          <w:color w:val="000000"/>
          <w:sz w:val="24"/>
          <w:szCs w:val="24"/>
        </w:rPr>
      </w:pPr>
    </w:p>
    <w:p w14:paraId="6852B323" w14:textId="77777777" w:rsidR="00E76FBB" w:rsidRPr="00CB76DF" w:rsidRDefault="00E76FBB" w:rsidP="00FF101D">
      <w:pPr>
        <w:rPr>
          <w:rFonts w:ascii="HelveticaNeue" w:eastAsia="Times New Roman" w:hAnsi="HelveticaNeue"/>
          <w:color w:val="000000"/>
          <w:sz w:val="24"/>
          <w:szCs w:val="24"/>
        </w:rPr>
      </w:pPr>
    </w:p>
    <w:p w14:paraId="31FB9181" w14:textId="2BC4427D" w:rsidR="00FF101D" w:rsidRPr="00CB76DF" w:rsidRDefault="003F3062" w:rsidP="00FF101D">
      <w:pPr>
        <w:rPr>
          <w:rFonts w:ascii="HelveticaNeue" w:eastAsia="Times New Roman" w:hAnsi="HelveticaNeue"/>
          <w:color w:val="000000"/>
          <w:sz w:val="24"/>
          <w:szCs w:val="24"/>
        </w:rPr>
      </w:pPr>
      <w:r w:rsidRPr="00CB76DF">
        <w:rPr>
          <w:rFonts w:ascii="HelveticaNeue" w:eastAsia="Times New Roman" w:hAnsi="HelveticaNeue"/>
          <w:color w:val="000000"/>
          <w:sz w:val="24"/>
          <w:szCs w:val="24"/>
        </w:rPr>
        <w:t>Background</w:t>
      </w:r>
      <w:r w:rsidR="00FF101D" w:rsidRPr="00CB76DF">
        <w:rPr>
          <w:rFonts w:ascii="HelveticaNeue" w:eastAsia="Times New Roman" w:hAnsi="HelveticaNeue"/>
          <w:color w:val="000000"/>
          <w:sz w:val="24"/>
          <w:szCs w:val="24"/>
        </w:rPr>
        <w:t>:</w:t>
      </w:r>
    </w:p>
    <w:p w14:paraId="23378669" w14:textId="19FA0724" w:rsidR="000E644A" w:rsidRPr="00CB76DF" w:rsidRDefault="00156DE0" w:rsidP="000E644A">
      <w:pPr>
        <w:jc w:val="both"/>
        <w:rPr>
          <w:rFonts w:ascii="HelveticaNeue" w:eastAsia="Times New Roman" w:hAnsi="HelveticaNeue"/>
          <w:color w:val="000000"/>
          <w:sz w:val="24"/>
          <w:szCs w:val="24"/>
        </w:rPr>
      </w:pPr>
      <w:r>
        <w:rPr>
          <w:rFonts w:ascii="HelveticaNeue" w:hAnsi="HelveticaNeue"/>
          <w:color w:val="000000"/>
          <w:sz w:val="24"/>
          <w:szCs w:val="24"/>
        </w:rPr>
        <w:t>Prior c</w:t>
      </w:r>
      <w:r w:rsidR="00C35185">
        <w:rPr>
          <w:rFonts w:ascii="HelveticaNeue" w:hAnsi="HelveticaNeue"/>
          <w:color w:val="000000"/>
          <w:sz w:val="24"/>
          <w:szCs w:val="24"/>
        </w:rPr>
        <w:t xml:space="preserve">ardiac surgery increases the </w:t>
      </w:r>
      <w:r w:rsidR="00BE41EC">
        <w:rPr>
          <w:rFonts w:ascii="HelveticaNeue" w:hAnsi="HelveticaNeue"/>
          <w:color w:val="000000"/>
          <w:sz w:val="24"/>
          <w:szCs w:val="24"/>
        </w:rPr>
        <w:t xml:space="preserve">risk of </w:t>
      </w:r>
      <w:r w:rsidR="00FE5C18">
        <w:rPr>
          <w:rFonts w:ascii="HelveticaNeue" w:hAnsi="HelveticaNeue"/>
          <w:color w:val="000000"/>
          <w:sz w:val="24"/>
          <w:szCs w:val="24"/>
        </w:rPr>
        <w:t>complications</w:t>
      </w:r>
      <w:r w:rsidR="0096466F">
        <w:rPr>
          <w:rFonts w:ascii="HelveticaNeue" w:hAnsi="HelveticaNeue"/>
          <w:color w:val="000000"/>
          <w:sz w:val="24"/>
          <w:szCs w:val="24"/>
        </w:rPr>
        <w:t xml:space="preserve"> in subsequent surgeries.</w:t>
      </w:r>
      <w:r w:rsidR="007E6BFC">
        <w:rPr>
          <w:rFonts w:ascii="HelveticaNeue" w:hAnsi="HelveticaNeue"/>
          <w:color w:val="000000"/>
          <w:sz w:val="24"/>
          <w:szCs w:val="24"/>
          <w:vertAlign w:val="superscript"/>
        </w:rPr>
        <w:t>1</w:t>
      </w:r>
      <w:r w:rsidR="0096466F">
        <w:rPr>
          <w:rFonts w:ascii="HelveticaNeue" w:hAnsi="HelveticaNeue"/>
          <w:color w:val="000000"/>
          <w:sz w:val="24"/>
          <w:szCs w:val="24"/>
        </w:rPr>
        <w:t xml:space="preserve"> </w:t>
      </w:r>
      <w:r w:rsidR="00D83B2A">
        <w:rPr>
          <w:rFonts w:ascii="HelveticaNeue" w:hAnsi="HelveticaNeue"/>
          <w:color w:val="000000"/>
          <w:sz w:val="24"/>
          <w:szCs w:val="24"/>
        </w:rPr>
        <w:t>However, there have</w:t>
      </w:r>
      <w:r w:rsidR="00B806C5">
        <w:rPr>
          <w:rFonts w:ascii="HelveticaNeue" w:hAnsi="HelveticaNeue"/>
          <w:color w:val="000000"/>
          <w:sz w:val="24"/>
          <w:szCs w:val="24"/>
        </w:rPr>
        <w:t xml:space="preserve"> not been any studies to evaluate how prior cardiac surgery affects percutaneous closure of </w:t>
      </w:r>
      <w:r w:rsidR="00A3088F">
        <w:rPr>
          <w:rFonts w:ascii="HelveticaNeue" w:hAnsi="HelveticaNeue"/>
          <w:color w:val="000000"/>
          <w:sz w:val="24"/>
          <w:szCs w:val="24"/>
        </w:rPr>
        <w:t>interatrial</w:t>
      </w:r>
      <w:r w:rsidR="00B806C5">
        <w:rPr>
          <w:rFonts w:ascii="HelveticaNeue" w:hAnsi="HelveticaNeue"/>
          <w:color w:val="000000"/>
          <w:sz w:val="24"/>
          <w:szCs w:val="24"/>
        </w:rPr>
        <w:t xml:space="preserve"> shunts</w:t>
      </w:r>
      <w:r w:rsidR="000E644A" w:rsidRPr="00CB76DF">
        <w:rPr>
          <w:rFonts w:ascii="HelveticaNeue" w:hAnsi="HelveticaNeue"/>
          <w:color w:val="000000"/>
          <w:sz w:val="24"/>
          <w:szCs w:val="24"/>
        </w:rPr>
        <w:t>.</w:t>
      </w:r>
      <w:r w:rsidR="00791C6C">
        <w:rPr>
          <w:rFonts w:ascii="HelveticaNeue" w:hAnsi="HelveticaNeue"/>
          <w:color w:val="000000"/>
          <w:sz w:val="24"/>
          <w:szCs w:val="24"/>
          <w:vertAlign w:val="superscript"/>
        </w:rPr>
        <w:t>2</w:t>
      </w:r>
      <w:r w:rsidR="007E6BFC">
        <w:rPr>
          <w:rFonts w:ascii="HelveticaNeue" w:hAnsi="HelveticaNeue"/>
          <w:color w:val="000000"/>
          <w:sz w:val="24"/>
          <w:szCs w:val="24"/>
          <w:vertAlign w:val="superscript"/>
        </w:rPr>
        <w:t>-3</w:t>
      </w:r>
      <w:r w:rsidR="000E644A" w:rsidRPr="00CB76DF">
        <w:rPr>
          <w:rFonts w:ascii="HelveticaNeue" w:hAnsi="HelveticaNeue"/>
          <w:color w:val="000000"/>
          <w:sz w:val="24"/>
          <w:szCs w:val="24"/>
        </w:rPr>
        <w:t xml:space="preserve"> </w:t>
      </w:r>
      <w:r w:rsidR="00EE14F1">
        <w:rPr>
          <w:rFonts w:ascii="HelveticaNeue" w:hAnsi="HelveticaNeue"/>
          <w:color w:val="000000"/>
          <w:sz w:val="24"/>
          <w:szCs w:val="24"/>
        </w:rPr>
        <w:t>T</w:t>
      </w:r>
      <w:r w:rsidR="003D4A8D" w:rsidRPr="00CB76DF">
        <w:rPr>
          <w:rFonts w:ascii="HelveticaNeue" w:hAnsi="HelveticaNeue"/>
          <w:color w:val="000000"/>
          <w:sz w:val="24"/>
          <w:szCs w:val="24"/>
        </w:rPr>
        <w:t xml:space="preserve">his </w:t>
      </w:r>
      <w:r w:rsidR="000E644A" w:rsidRPr="00CB76DF">
        <w:rPr>
          <w:rFonts w:ascii="HelveticaNeue" w:hAnsi="HelveticaNeue"/>
          <w:color w:val="000000"/>
          <w:sz w:val="24"/>
          <w:szCs w:val="24"/>
        </w:rPr>
        <w:t>study</w:t>
      </w:r>
      <w:r w:rsidR="00EE14F1">
        <w:rPr>
          <w:rFonts w:ascii="HelveticaNeue" w:hAnsi="HelveticaNeue"/>
          <w:color w:val="000000"/>
          <w:sz w:val="24"/>
          <w:szCs w:val="24"/>
        </w:rPr>
        <w:t xml:space="preserve">’s aim </w:t>
      </w:r>
      <w:r w:rsidR="003D4A8D" w:rsidRPr="00CB76DF">
        <w:rPr>
          <w:rFonts w:ascii="HelveticaNeue" w:hAnsi="HelveticaNeue"/>
          <w:color w:val="000000"/>
          <w:sz w:val="24"/>
          <w:szCs w:val="24"/>
        </w:rPr>
        <w:t>is</w:t>
      </w:r>
      <w:r w:rsidR="000E644A" w:rsidRPr="00CB76DF">
        <w:rPr>
          <w:rFonts w:ascii="HelveticaNeue" w:hAnsi="HelveticaNeue"/>
          <w:color w:val="000000"/>
          <w:sz w:val="24"/>
          <w:szCs w:val="24"/>
        </w:rPr>
        <w:t xml:space="preserve"> to </w:t>
      </w:r>
      <w:r w:rsidR="00B73B03">
        <w:rPr>
          <w:rFonts w:ascii="HelveticaNeue" w:hAnsi="HelveticaNeue"/>
          <w:color w:val="000000"/>
          <w:sz w:val="24"/>
          <w:szCs w:val="24"/>
        </w:rPr>
        <w:t xml:space="preserve">assess if prior cardiac surgery </w:t>
      </w:r>
      <w:r w:rsidR="0039774F">
        <w:rPr>
          <w:rFonts w:ascii="HelveticaNeue" w:hAnsi="HelveticaNeue"/>
          <w:color w:val="000000"/>
          <w:sz w:val="24"/>
          <w:szCs w:val="24"/>
        </w:rPr>
        <w:t xml:space="preserve">has any association with residual shunt </w:t>
      </w:r>
      <w:r w:rsidR="00827ABC">
        <w:rPr>
          <w:rFonts w:ascii="HelveticaNeue" w:hAnsi="HelveticaNeue"/>
          <w:color w:val="000000"/>
          <w:sz w:val="24"/>
          <w:szCs w:val="24"/>
        </w:rPr>
        <w:t xml:space="preserve">following </w:t>
      </w:r>
      <w:r w:rsidR="00827ABC" w:rsidRPr="00CB76DF">
        <w:rPr>
          <w:rFonts w:ascii="HelveticaNeue" w:hAnsi="HelveticaNeue"/>
          <w:color w:val="000000"/>
          <w:sz w:val="24"/>
          <w:szCs w:val="24"/>
        </w:rPr>
        <w:t>percutaneous</w:t>
      </w:r>
      <w:r w:rsidR="000E644A" w:rsidRPr="00CB76DF">
        <w:rPr>
          <w:rFonts w:ascii="HelveticaNeue" w:hAnsi="HelveticaNeue"/>
          <w:color w:val="000000"/>
          <w:sz w:val="24"/>
          <w:szCs w:val="24"/>
        </w:rPr>
        <w:t xml:space="preserve"> </w:t>
      </w:r>
      <w:r w:rsidR="0039774F">
        <w:rPr>
          <w:rFonts w:ascii="HelveticaNeue" w:hAnsi="HelveticaNeue"/>
          <w:color w:val="000000"/>
          <w:sz w:val="24"/>
          <w:szCs w:val="24"/>
        </w:rPr>
        <w:t xml:space="preserve">patent foramen </w:t>
      </w:r>
      <w:proofErr w:type="spellStart"/>
      <w:r w:rsidR="0039774F">
        <w:rPr>
          <w:rFonts w:ascii="HelveticaNeue" w:hAnsi="HelveticaNeue"/>
          <w:color w:val="000000"/>
          <w:sz w:val="24"/>
          <w:szCs w:val="24"/>
        </w:rPr>
        <w:t>ovale</w:t>
      </w:r>
      <w:proofErr w:type="spellEnd"/>
      <w:r w:rsidR="0039774F">
        <w:rPr>
          <w:rFonts w:ascii="HelveticaNeue" w:hAnsi="HelveticaNeue"/>
          <w:color w:val="000000"/>
          <w:sz w:val="24"/>
          <w:szCs w:val="24"/>
        </w:rPr>
        <w:t xml:space="preserve"> (</w:t>
      </w:r>
      <w:r w:rsidR="000E644A" w:rsidRPr="00CB76DF">
        <w:rPr>
          <w:rFonts w:ascii="HelveticaNeue" w:hAnsi="HelveticaNeue"/>
          <w:color w:val="000000"/>
          <w:sz w:val="24"/>
          <w:szCs w:val="24"/>
        </w:rPr>
        <w:t>PFO</w:t>
      </w:r>
      <w:r w:rsidR="0039774F">
        <w:rPr>
          <w:rFonts w:ascii="HelveticaNeue" w:hAnsi="HelveticaNeue"/>
          <w:color w:val="000000"/>
          <w:sz w:val="24"/>
          <w:szCs w:val="24"/>
        </w:rPr>
        <w:t>)</w:t>
      </w:r>
      <w:r w:rsidR="000E644A" w:rsidRPr="00CB76DF">
        <w:rPr>
          <w:rFonts w:ascii="HelveticaNeue" w:hAnsi="HelveticaNeue"/>
          <w:color w:val="000000"/>
          <w:sz w:val="24"/>
          <w:szCs w:val="24"/>
        </w:rPr>
        <w:t xml:space="preserve"> closure. </w:t>
      </w:r>
    </w:p>
    <w:p w14:paraId="60C901E5" w14:textId="07F05C86" w:rsidR="00FF101D" w:rsidRPr="00CB76DF" w:rsidRDefault="003F3062" w:rsidP="00FF101D">
      <w:pPr>
        <w:rPr>
          <w:rFonts w:ascii="HelveticaNeue" w:eastAsia="Times New Roman" w:hAnsi="HelveticaNeue"/>
          <w:color w:val="000000"/>
          <w:sz w:val="24"/>
          <w:szCs w:val="24"/>
        </w:rPr>
      </w:pPr>
      <w:r w:rsidRPr="00CB76DF">
        <w:rPr>
          <w:rFonts w:ascii="HelveticaNeue" w:eastAsia="Times New Roman" w:hAnsi="HelveticaNeue"/>
          <w:color w:val="000000"/>
          <w:sz w:val="24"/>
          <w:szCs w:val="24"/>
        </w:rPr>
        <w:t>Methods</w:t>
      </w:r>
      <w:r w:rsidR="00FF101D" w:rsidRPr="00CB76DF">
        <w:rPr>
          <w:rFonts w:ascii="HelveticaNeue" w:eastAsia="Times New Roman" w:hAnsi="HelveticaNeue"/>
          <w:color w:val="000000"/>
          <w:sz w:val="24"/>
          <w:szCs w:val="24"/>
        </w:rPr>
        <w:t>:</w:t>
      </w:r>
    </w:p>
    <w:p w14:paraId="2B1A3B0D" w14:textId="52933B87" w:rsidR="000E644A" w:rsidRPr="00CB76DF" w:rsidRDefault="000E644A" w:rsidP="000E644A">
      <w:pPr>
        <w:jc w:val="both"/>
        <w:rPr>
          <w:rFonts w:ascii="HelveticaNeue" w:eastAsia="Times New Roman" w:hAnsi="HelveticaNeue"/>
          <w:sz w:val="24"/>
          <w:szCs w:val="24"/>
        </w:rPr>
      </w:pPr>
      <w:r w:rsidRPr="00CB76DF">
        <w:rPr>
          <w:rFonts w:ascii="HelveticaNeue" w:hAnsi="HelveticaNeue"/>
          <w:color w:val="000000"/>
          <w:sz w:val="24"/>
          <w:szCs w:val="24"/>
        </w:rPr>
        <w:t xml:space="preserve">Single-center retrospective analysis of </w:t>
      </w:r>
      <w:r w:rsidR="004170B0" w:rsidRPr="00CB76DF">
        <w:rPr>
          <w:rFonts w:ascii="HelveticaNeue" w:hAnsi="HelveticaNeue"/>
          <w:color w:val="000000"/>
          <w:sz w:val="24"/>
          <w:szCs w:val="24"/>
        </w:rPr>
        <w:t xml:space="preserve">137 patients who underwent </w:t>
      </w:r>
      <w:r w:rsidRPr="00CB76DF">
        <w:rPr>
          <w:rFonts w:ascii="HelveticaNeue" w:hAnsi="HelveticaNeue"/>
          <w:color w:val="000000"/>
          <w:sz w:val="24"/>
          <w:szCs w:val="24"/>
        </w:rPr>
        <w:t>percutaneous PFO closures evaluating</w:t>
      </w:r>
      <w:r w:rsidR="00A44101" w:rsidRPr="00CB76DF">
        <w:rPr>
          <w:rFonts w:ascii="HelveticaNeue" w:hAnsi="HelveticaNeue"/>
          <w:color w:val="000000"/>
          <w:sz w:val="24"/>
          <w:szCs w:val="24"/>
        </w:rPr>
        <w:t xml:space="preserve"> p</w:t>
      </w:r>
      <w:r w:rsidRPr="00CB76DF">
        <w:rPr>
          <w:rFonts w:ascii="HelveticaNeue" w:hAnsi="HelveticaNeue"/>
          <w:color w:val="000000"/>
          <w:sz w:val="24"/>
          <w:szCs w:val="24"/>
        </w:rPr>
        <w:t>atient</w:t>
      </w:r>
      <w:r w:rsidR="0040283E" w:rsidRPr="00CB76DF">
        <w:rPr>
          <w:rFonts w:ascii="HelveticaNeue" w:hAnsi="HelveticaNeue"/>
          <w:color w:val="000000"/>
          <w:sz w:val="24"/>
          <w:szCs w:val="24"/>
        </w:rPr>
        <w:t>s</w:t>
      </w:r>
      <w:r w:rsidRPr="00CB76DF">
        <w:rPr>
          <w:rFonts w:ascii="HelveticaNeue" w:hAnsi="HelveticaNeue"/>
          <w:color w:val="000000"/>
          <w:sz w:val="24"/>
          <w:szCs w:val="24"/>
        </w:rPr>
        <w:t xml:space="preserve"> who underwent a percutaneous PFO closure within the </w:t>
      </w:r>
      <w:r w:rsidR="006F0F15" w:rsidRPr="00CB76DF">
        <w:rPr>
          <w:rFonts w:ascii="HelveticaNeue" w:hAnsi="HelveticaNeue"/>
          <w:color w:val="000000"/>
          <w:sz w:val="24"/>
          <w:szCs w:val="24"/>
        </w:rPr>
        <w:t>dates</w:t>
      </w:r>
      <w:r w:rsidRPr="00CB76DF">
        <w:rPr>
          <w:rFonts w:ascii="HelveticaNeue" w:hAnsi="HelveticaNeue"/>
          <w:color w:val="000000"/>
          <w:sz w:val="24"/>
          <w:szCs w:val="24"/>
        </w:rPr>
        <w:t xml:space="preserve"> of January </w:t>
      </w:r>
      <w:r w:rsidR="008A0804" w:rsidRPr="00CB76DF">
        <w:rPr>
          <w:rFonts w:ascii="HelveticaNeue" w:hAnsi="HelveticaNeue"/>
          <w:color w:val="000000"/>
          <w:sz w:val="24"/>
          <w:szCs w:val="24"/>
        </w:rPr>
        <w:t xml:space="preserve">1, </w:t>
      </w:r>
      <w:r w:rsidR="00CB76DF" w:rsidRPr="00CB76DF">
        <w:rPr>
          <w:rFonts w:ascii="HelveticaNeue" w:hAnsi="HelveticaNeue"/>
          <w:color w:val="000000"/>
          <w:sz w:val="24"/>
          <w:szCs w:val="24"/>
        </w:rPr>
        <w:t>2009,</w:t>
      </w:r>
      <w:r w:rsidRPr="00CB76DF">
        <w:rPr>
          <w:rFonts w:ascii="HelveticaNeue" w:hAnsi="HelveticaNeue"/>
          <w:color w:val="000000"/>
          <w:sz w:val="24"/>
          <w:szCs w:val="24"/>
        </w:rPr>
        <w:t xml:space="preserve"> to December </w:t>
      </w:r>
      <w:r w:rsidR="008A0804" w:rsidRPr="00CB76DF">
        <w:rPr>
          <w:rFonts w:ascii="HelveticaNeue" w:hAnsi="HelveticaNeue"/>
          <w:color w:val="000000"/>
          <w:sz w:val="24"/>
          <w:szCs w:val="24"/>
        </w:rPr>
        <w:t xml:space="preserve">31, </w:t>
      </w:r>
      <w:r w:rsidRPr="00CB76DF">
        <w:rPr>
          <w:rFonts w:ascii="HelveticaNeue" w:hAnsi="HelveticaNeue"/>
          <w:color w:val="000000"/>
          <w:sz w:val="24"/>
          <w:szCs w:val="24"/>
        </w:rPr>
        <w:t xml:space="preserve">2020. PFO closure failure </w:t>
      </w:r>
      <w:r w:rsidR="00012D52" w:rsidRPr="00CB76DF">
        <w:rPr>
          <w:rFonts w:ascii="HelveticaNeue" w:hAnsi="HelveticaNeue"/>
          <w:color w:val="000000"/>
          <w:sz w:val="24"/>
          <w:szCs w:val="24"/>
        </w:rPr>
        <w:t>was</w:t>
      </w:r>
      <w:r w:rsidRPr="00CB76DF">
        <w:rPr>
          <w:rFonts w:ascii="HelveticaNeue" w:hAnsi="HelveticaNeue"/>
          <w:color w:val="000000"/>
          <w:sz w:val="24"/>
          <w:szCs w:val="24"/>
        </w:rPr>
        <w:t xml:space="preserve"> defined as one or more bubble(s) seen in the left heart within 3 beats of the cardiac cycle as per the current guidelines which identify the presence of PFO.</w:t>
      </w:r>
      <w:r w:rsidR="00A326F9" w:rsidRPr="00CB76DF">
        <w:rPr>
          <w:rFonts w:ascii="HelveticaNeue" w:hAnsi="HelveticaNeue"/>
          <w:color w:val="000000"/>
          <w:sz w:val="24"/>
          <w:szCs w:val="24"/>
        </w:rPr>
        <w:t xml:space="preserve"> Demographic information was collected on all patients.</w:t>
      </w:r>
      <w:r w:rsidRPr="00CB76DF">
        <w:rPr>
          <w:rFonts w:ascii="HelveticaNeue" w:hAnsi="HelveticaNeue"/>
          <w:color w:val="000000"/>
          <w:sz w:val="24"/>
          <w:szCs w:val="24"/>
        </w:rPr>
        <w:t xml:space="preserve"> </w:t>
      </w:r>
      <w:r w:rsidR="00A44101" w:rsidRPr="00CB76DF">
        <w:rPr>
          <w:rFonts w:ascii="HelveticaNeue" w:hAnsi="HelveticaNeue"/>
          <w:color w:val="000000"/>
          <w:sz w:val="24"/>
          <w:szCs w:val="24"/>
        </w:rPr>
        <w:t>Survival</w:t>
      </w:r>
      <w:r w:rsidRPr="00CB76DF">
        <w:rPr>
          <w:rFonts w:ascii="HelveticaNeue" w:hAnsi="HelveticaNeue"/>
          <w:color w:val="000000"/>
          <w:sz w:val="24"/>
          <w:szCs w:val="24"/>
        </w:rPr>
        <w:t xml:space="preserve"> analysis </w:t>
      </w:r>
      <w:r w:rsidR="00A44101" w:rsidRPr="00CB76DF">
        <w:rPr>
          <w:rFonts w:ascii="HelveticaNeue" w:hAnsi="HelveticaNeue"/>
          <w:color w:val="000000"/>
          <w:sz w:val="24"/>
          <w:szCs w:val="24"/>
        </w:rPr>
        <w:t xml:space="preserve">using a </w:t>
      </w:r>
      <w:r w:rsidR="008A0804" w:rsidRPr="00CB76DF">
        <w:rPr>
          <w:rFonts w:ascii="HelveticaNeue" w:hAnsi="HelveticaNeue"/>
          <w:color w:val="000000"/>
          <w:sz w:val="24"/>
          <w:szCs w:val="24"/>
        </w:rPr>
        <w:t xml:space="preserve">Cox </w:t>
      </w:r>
      <w:r w:rsidR="00A44101" w:rsidRPr="00CB76DF">
        <w:rPr>
          <w:rFonts w:ascii="HelveticaNeue" w:hAnsi="HelveticaNeue"/>
          <w:color w:val="000000"/>
          <w:sz w:val="24"/>
          <w:szCs w:val="24"/>
        </w:rPr>
        <w:t xml:space="preserve">regression model </w:t>
      </w:r>
      <w:r w:rsidR="00B96E3E" w:rsidRPr="00CB76DF">
        <w:rPr>
          <w:rFonts w:ascii="HelveticaNeue" w:hAnsi="HelveticaNeue"/>
          <w:color w:val="000000"/>
          <w:sz w:val="24"/>
          <w:szCs w:val="24"/>
        </w:rPr>
        <w:t>was</w:t>
      </w:r>
      <w:r w:rsidRPr="00CB76DF">
        <w:rPr>
          <w:rFonts w:ascii="HelveticaNeue" w:hAnsi="HelveticaNeue"/>
          <w:color w:val="000000"/>
          <w:sz w:val="24"/>
          <w:szCs w:val="24"/>
        </w:rPr>
        <w:t xml:space="preserve"> performed to assess for associations</w:t>
      </w:r>
      <w:r w:rsidR="003B4D32" w:rsidRPr="00CB76DF">
        <w:rPr>
          <w:rFonts w:ascii="HelveticaNeue" w:hAnsi="HelveticaNeue"/>
          <w:color w:val="000000"/>
          <w:sz w:val="24"/>
          <w:szCs w:val="24"/>
        </w:rPr>
        <w:t xml:space="preserve"> between</w:t>
      </w:r>
      <w:r w:rsidRPr="00CB76DF">
        <w:rPr>
          <w:rFonts w:ascii="HelveticaNeue" w:hAnsi="HelveticaNeue"/>
          <w:color w:val="000000"/>
          <w:sz w:val="24"/>
          <w:szCs w:val="24"/>
        </w:rPr>
        <w:t xml:space="preserve"> </w:t>
      </w:r>
      <w:r w:rsidR="00B96E3E" w:rsidRPr="00CB76DF">
        <w:rPr>
          <w:rFonts w:ascii="HelveticaNeue" w:hAnsi="HelveticaNeue"/>
          <w:sz w:val="24"/>
          <w:szCs w:val="24"/>
        </w:rPr>
        <w:t>demographic</w:t>
      </w:r>
      <w:r w:rsidR="00135B1F" w:rsidRPr="00CB76DF">
        <w:rPr>
          <w:rFonts w:ascii="HelveticaNeue" w:hAnsi="HelveticaNeue"/>
          <w:sz w:val="24"/>
          <w:szCs w:val="24"/>
        </w:rPr>
        <w:t xml:space="preserve"> information</w:t>
      </w:r>
      <w:r w:rsidR="00E47CB9" w:rsidRPr="00CB76DF">
        <w:rPr>
          <w:rFonts w:ascii="HelveticaNeue" w:hAnsi="HelveticaNeue"/>
          <w:sz w:val="24"/>
          <w:szCs w:val="24"/>
        </w:rPr>
        <w:t xml:space="preserve"> </w:t>
      </w:r>
      <w:r w:rsidR="00E76FBB" w:rsidRPr="00CB76DF">
        <w:rPr>
          <w:rFonts w:ascii="HelveticaNeue" w:hAnsi="HelveticaNeue"/>
          <w:sz w:val="24"/>
          <w:szCs w:val="24"/>
        </w:rPr>
        <w:t xml:space="preserve">along with prior medical history </w:t>
      </w:r>
      <w:r w:rsidR="00B96E3E" w:rsidRPr="00CB76DF">
        <w:rPr>
          <w:rFonts w:ascii="HelveticaNeue" w:hAnsi="HelveticaNeue"/>
          <w:sz w:val="24"/>
          <w:szCs w:val="24"/>
        </w:rPr>
        <w:t xml:space="preserve">and </w:t>
      </w:r>
      <w:r w:rsidR="008A0804" w:rsidRPr="00CB76DF">
        <w:rPr>
          <w:rFonts w:ascii="HelveticaNeue" w:hAnsi="HelveticaNeue"/>
          <w:sz w:val="24"/>
          <w:szCs w:val="24"/>
        </w:rPr>
        <w:t xml:space="preserve">risk of </w:t>
      </w:r>
      <w:r w:rsidRPr="00CB76DF">
        <w:rPr>
          <w:rFonts w:ascii="HelveticaNeue" w:hAnsi="HelveticaNeue"/>
          <w:sz w:val="24"/>
          <w:szCs w:val="24"/>
        </w:rPr>
        <w:t>PFO</w:t>
      </w:r>
      <w:r w:rsidR="00B96E3E" w:rsidRPr="00CB76DF">
        <w:rPr>
          <w:rFonts w:ascii="HelveticaNeue" w:hAnsi="HelveticaNeue"/>
          <w:sz w:val="24"/>
          <w:szCs w:val="24"/>
        </w:rPr>
        <w:t xml:space="preserve"> closure</w:t>
      </w:r>
      <w:r w:rsidRPr="00CB76DF">
        <w:rPr>
          <w:rFonts w:ascii="HelveticaNeue" w:hAnsi="HelveticaNeue"/>
          <w:sz w:val="24"/>
          <w:szCs w:val="24"/>
        </w:rPr>
        <w:t xml:space="preserve"> failure.</w:t>
      </w:r>
    </w:p>
    <w:p w14:paraId="19E49112" w14:textId="77777777" w:rsidR="002175E8" w:rsidRPr="00CB76DF" w:rsidRDefault="003F3062" w:rsidP="003C1C89">
      <w:pPr>
        <w:jc w:val="both"/>
        <w:rPr>
          <w:rFonts w:ascii="HelveticaNeue" w:eastAsia="Times New Roman" w:hAnsi="HelveticaNeue"/>
          <w:sz w:val="24"/>
          <w:szCs w:val="24"/>
        </w:rPr>
      </w:pPr>
      <w:r w:rsidRPr="00CB76DF">
        <w:rPr>
          <w:rFonts w:ascii="HelveticaNeue" w:eastAsia="Times New Roman" w:hAnsi="HelveticaNeue"/>
          <w:sz w:val="24"/>
          <w:szCs w:val="24"/>
        </w:rPr>
        <w:t>Results</w:t>
      </w:r>
      <w:r w:rsidR="00FF101D" w:rsidRPr="00CB76DF">
        <w:rPr>
          <w:rFonts w:ascii="HelveticaNeue" w:eastAsia="Times New Roman" w:hAnsi="HelveticaNeue"/>
          <w:sz w:val="24"/>
          <w:szCs w:val="24"/>
        </w:rPr>
        <w:t>:</w:t>
      </w:r>
      <w:r w:rsidR="00A44101" w:rsidRPr="00CB76DF">
        <w:rPr>
          <w:rFonts w:ascii="HelveticaNeue" w:eastAsia="Times New Roman" w:hAnsi="HelveticaNeue"/>
          <w:sz w:val="24"/>
          <w:szCs w:val="24"/>
        </w:rPr>
        <w:t xml:space="preserve"> </w:t>
      </w:r>
    </w:p>
    <w:p w14:paraId="1E8EA7AB" w14:textId="1E81A8F8" w:rsidR="00FF101D" w:rsidRPr="00CB76DF" w:rsidRDefault="007479F5" w:rsidP="003C1C89">
      <w:pPr>
        <w:jc w:val="both"/>
        <w:rPr>
          <w:rFonts w:ascii="HelveticaNeue" w:eastAsia="Times New Roman" w:hAnsi="HelveticaNeue"/>
          <w:sz w:val="24"/>
          <w:szCs w:val="24"/>
        </w:rPr>
      </w:pPr>
      <w:r>
        <w:rPr>
          <w:rFonts w:ascii="HelveticaNeue" w:eastAsia="Times New Roman" w:hAnsi="HelveticaNeue"/>
          <w:sz w:val="24"/>
          <w:szCs w:val="24"/>
        </w:rPr>
        <w:t>Percutaneous</w:t>
      </w:r>
      <w:r w:rsidRPr="00CB76DF">
        <w:rPr>
          <w:rFonts w:ascii="HelveticaNeue" w:eastAsia="Times New Roman" w:hAnsi="HelveticaNeue"/>
          <w:sz w:val="24"/>
          <w:szCs w:val="24"/>
        </w:rPr>
        <w:t xml:space="preserve"> </w:t>
      </w:r>
      <w:r w:rsidR="003C1C89" w:rsidRPr="00CB76DF">
        <w:rPr>
          <w:rFonts w:ascii="HelveticaNeue" w:eastAsia="Times New Roman" w:hAnsi="HelveticaNeue"/>
          <w:sz w:val="24"/>
          <w:szCs w:val="24"/>
        </w:rPr>
        <w:t>PFO closure failure</w:t>
      </w:r>
      <w:r w:rsidR="00036DDA" w:rsidRPr="00CB76DF">
        <w:rPr>
          <w:rFonts w:ascii="HelveticaNeue" w:eastAsia="Times New Roman" w:hAnsi="HelveticaNeue"/>
          <w:sz w:val="24"/>
          <w:szCs w:val="24"/>
        </w:rPr>
        <w:t xml:space="preserve"> was found in</w:t>
      </w:r>
      <w:r w:rsidR="00802BF8" w:rsidRPr="00CB76DF">
        <w:rPr>
          <w:rFonts w:ascii="HelveticaNeue" w:eastAsia="Times New Roman" w:hAnsi="HelveticaNeue"/>
          <w:sz w:val="24"/>
          <w:szCs w:val="24"/>
        </w:rPr>
        <w:t xml:space="preserve"> 33</w:t>
      </w:r>
      <w:r w:rsidR="00036DDA" w:rsidRPr="00CB76DF">
        <w:rPr>
          <w:rFonts w:ascii="HelveticaNeue" w:eastAsia="Times New Roman" w:hAnsi="HelveticaNeue"/>
          <w:sz w:val="24"/>
          <w:szCs w:val="24"/>
        </w:rPr>
        <w:t xml:space="preserve"> patients (</w:t>
      </w:r>
      <w:r w:rsidR="00802BF8" w:rsidRPr="00CB76DF">
        <w:rPr>
          <w:rFonts w:ascii="HelveticaNeue" w:eastAsia="Times New Roman" w:hAnsi="HelveticaNeue"/>
          <w:sz w:val="24"/>
          <w:szCs w:val="24"/>
        </w:rPr>
        <w:t>24</w:t>
      </w:r>
      <w:r w:rsidR="00036DDA" w:rsidRPr="00CB76DF">
        <w:rPr>
          <w:rFonts w:ascii="HelveticaNeue" w:eastAsia="Times New Roman" w:hAnsi="HelveticaNeue"/>
          <w:sz w:val="24"/>
          <w:szCs w:val="24"/>
        </w:rPr>
        <w:t>%)</w:t>
      </w:r>
      <w:r w:rsidR="003C1C89" w:rsidRPr="00CB76DF">
        <w:rPr>
          <w:rFonts w:ascii="HelveticaNeue" w:eastAsia="Times New Roman" w:hAnsi="HelveticaNeue"/>
          <w:sz w:val="24"/>
          <w:szCs w:val="24"/>
        </w:rPr>
        <w:t>.</w:t>
      </w:r>
      <w:r w:rsidR="00E75FBD">
        <w:rPr>
          <w:rFonts w:ascii="HelveticaNeue" w:eastAsia="Times New Roman" w:hAnsi="HelveticaNeue"/>
          <w:sz w:val="24"/>
          <w:szCs w:val="24"/>
        </w:rPr>
        <w:t xml:space="preserve"> </w:t>
      </w:r>
      <w:r w:rsidR="00064D55">
        <w:rPr>
          <w:rFonts w:ascii="HelveticaNeue" w:eastAsia="Times New Roman" w:hAnsi="HelveticaNeue"/>
          <w:sz w:val="24"/>
          <w:szCs w:val="24"/>
        </w:rPr>
        <w:t>Of the total population</w:t>
      </w:r>
      <w:r w:rsidR="00FA2518">
        <w:rPr>
          <w:rFonts w:ascii="HelveticaNeue" w:eastAsia="Times New Roman" w:hAnsi="HelveticaNeue"/>
          <w:sz w:val="24"/>
          <w:szCs w:val="24"/>
        </w:rPr>
        <w:t xml:space="preserve"> studied,</w:t>
      </w:r>
      <w:r w:rsidR="00064D55">
        <w:rPr>
          <w:rFonts w:ascii="HelveticaNeue" w:eastAsia="Times New Roman" w:hAnsi="HelveticaNeue"/>
          <w:sz w:val="24"/>
          <w:szCs w:val="24"/>
        </w:rPr>
        <w:t xml:space="preserve"> 13</w:t>
      </w:r>
      <w:r w:rsidR="008E3D05">
        <w:rPr>
          <w:rFonts w:ascii="HelveticaNeue" w:eastAsia="Times New Roman" w:hAnsi="HelveticaNeue"/>
          <w:sz w:val="24"/>
          <w:szCs w:val="24"/>
        </w:rPr>
        <w:t xml:space="preserve"> (9.5%)</w:t>
      </w:r>
      <w:r w:rsidR="00064D55">
        <w:rPr>
          <w:rFonts w:ascii="HelveticaNeue" w:eastAsia="Times New Roman" w:hAnsi="HelveticaNeue"/>
          <w:sz w:val="24"/>
          <w:szCs w:val="24"/>
        </w:rPr>
        <w:t xml:space="preserve"> patients underwent prior cardiac surgery.</w:t>
      </w:r>
      <w:r w:rsidR="003C1C89" w:rsidRPr="00CB76DF">
        <w:rPr>
          <w:rFonts w:ascii="HelveticaNeue" w:eastAsia="Times New Roman" w:hAnsi="HelveticaNeue"/>
          <w:sz w:val="24"/>
          <w:szCs w:val="24"/>
        </w:rPr>
        <w:t xml:space="preserve"> </w:t>
      </w:r>
      <w:r w:rsidR="00C24B8F">
        <w:rPr>
          <w:rFonts w:ascii="HelveticaNeue" w:hAnsi="HelveticaNeue" w:cs="Segoe UI"/>
          <w:sz w:val="24"/>
          <w:szCs w:val="24"/>
          <w:shd w:val="clear" w:color="auto" w:fill="FFFFFF"/>
        </w:rPr>
        <w:t>P</w:t>
      </w:r>
      <w:r w:rsidR="00C24B8F" w:rsidRPr="00CB76DF">
        <w:rPr>
          <w:rFonts w:ascii="HelveticaNeue" w:hAnsi="HelveticaNeue" w:cs="Segoe UI"/>
          <w:sz w:val="24"/>
          <w:szCs w:val="24"/>
          <w:shd w:val="clear" w:color="auto" w:fill="FFFFFF"/>
        </w:rPr>
        <w:t>rior</w:t>
      </w:r>
      <w:r w:rsidR="00C24B8F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cardiac</w:t>
      </w:r>
      <w:r w:rsidR="00C24B8F" w:rsidRPr="00CB76DF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surgery (Relative Risk, RR 3.94, 95% CI 1.06-14.57) and </w:t>
      </w:r>
      <w:r w:rsidR="005F4D08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the </w:t>
      </w:r>
      <w:r w:rsidR="00C24B8F" w:rsidRPr="00CB76DF">
        <w:rPr>
          <w:rFonts w:ascii="HelveticaNeue" w:hAnsi="HelveticaNeue" w:cs="Segoe UI"/>
          <w:sz w:val="24"/>
          <w:szCs w:val="24"/>
          <w:shd w:val="clear" w:color="auto" w:fill="FFFFFF"/>
        </w:rPr>
        <w:t>presence of hypoxia (RR 3.41, 95%CI 1.18-9.81)</w:t>
      </w:r>
      <w:r w:rsidR="00C24B8F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was</w:t>
      </w:r>
      <w:r w:rsidR="00A6730A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identified as </w:t>
      </w:r>
      <w:r w:rsidR="003C1C89" w:rsidRPr="00CB76DF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independent </w:t>
      </w:r>
      <w:r w:rsidR="008A0804" w:rsidRPr="00CB76DF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(statistically significant, P &lt; 0.05) </w:t>
      </w:r>
      <w:r w:rsidR="003C1C89" w:rsidRPr="00CB76DF">
        <w:rPr>
          <w:rFonts w:ascii="HelveticaNeue" w:hAnsi="HelveticaNeue" w:cs="Segoe UI"/>
          <w:sz w:val="24"/>
          <w:szCs w:val="24"/>
          <w:shd w:val="clear" w:color="auto" w:fill="FFFFFF"/>
        </w:rPr>
        <w:t>predictors of PFO</w:t>
      </w:r>
      <w:r w:rsidR="00A6730A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closure</w:t>
      </w:r>
      <w:r w:rsidR="003C1C89" w:rsidRPr="00CB76DF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failure</w:t>
      </w:r>
      <w:r w:rsidR="00E3066D">
        <w:rPr>
          <w:rFonts w:ascii="HelveticaNeue" w:hAnsi="HelveticaNeue" w:cs="Segoe UI"/>
          <w:sz w:val="24"/>
          <w:szCs w:val="24"/>
          <w:shd w:val="clear" w:color="auto" w:fill="FFFFFF"/>
        </w:rPr>
        <w:t>. E</w:t>
      </w:r>
      <w:r w:rsidR="00AB39A8" w:rsidRPr="00CB76DF">
        <w:rPr>
          <w:rFonts w:ascii="HelveticaNeue" w:hAnsi="HelveticaNeue" w:cs="Segoe UI"/>
          <w:sz w:val="24"/>
          <w:szCs w:val="24"/>
          <w:shd w:val="clear" w:color="auto" w:fill="FFFFFF"/>
        </w:rPr>
        <w:t>nd-stage renal disease (</w:t>
      </w:r>
      <w:r w:rsidR="00E76FBB" w:rsidRPr="00CB76DF">
        <w:rPr>
          <w:rFonts w:ascii="HelveticaNeue" w:hAnsi="HelveticaNeue" w:cs="Segoe UI"/>
          <w:sz w:val="24"/>
          <w:szCs w:val="24"/>
          <w:shd w:val="clear" w:color="auto" w:fill="FFFFFF"/>
        </w:rPr>
        <w:t>ESRD</w:t>
      </w:r>
      <w:r w:rsidR="00AB39A8" w:rsidRPr="00CB76DF">
        <w:rPr>
          <w:rFonts w:ascii="HelveticaNeue" w:hAnsi="HelveticaNeue" w:cs="Segoe UI"/>
          <w:sz w:val="24"/>
          <w:szCs w:val="24"/>
          <w:shd w:val="clear" w:color="auto" w:fill="FFFFFF"/>
        </w:rPr>
        <w:t>)</w:t>
      </w:r>
      <w:r w:rsidR="00E76FBB" w:rsidRPr="00CB76DF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was foun</w:t>
      </w:r>
      <w:r w:rsidR="00355115" w:rsidRPr="00CB76DF">
        <w:rPr>
          <w:rFonts w:ascii="HelveticaNeue" w:hAnsi="HelveticaNeue" w:cs="Segoe UI"/>
          <w:sz w:val="24"/>
          <w:szCs w:val="24"/>
          <w:shd w:val="clear" w:color="auto" w:fill="FFFFFF"/>
        </w:rPr>
        <w:t>d</w:t>
      </w:r>
      <w:r w:rsidR="00E76FBB" w:rsidRPr="00CB76DF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to be </w:t>
      </w:r>
      <w:r w:rsidR="00F667EA" w:rsidRPr="00CB76DF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marginally significant </w:t>
      </w:r>
      <w:r w:rsidR="00036DDA" w:rsidRPr="00CB76DF">
        <w:rPr>
          <w:rFonts w:ascii="HelveticaNeue" w:hAnsi="HelveticaNeue" w:cs="Segoe UI"/>
          <w:sz w:val="24"/>
          <w:szCs w:val="24"/>
          <w:shd w:val="clear" w:color="auto" w:fill="FFFFFF"/>
        </w:rPr>
        <w:t>(</w:t>
      </w:r>
      <w:r w:rsidR="00AB39A8" w:rsidRPr="00CB76DF">
        <w:rPr>
          <w:rFonts w:ascii="HelveticaNeue" w:hAnsi="HelveticaNeue" w:cs="Segoe UI"/>
          <w:sz w:val="24"/>
          <w:szCs w:val="24"/>
          <w:shd w:val="clear" w:color="auto" w:fill="FFFFFF"/>
        </w:rPr>
        <w:t>R</w:t>
      </w:r>
      <w:r w:rsidR="00036DDA" w:rsidRPr="00CB76DF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R </w:t>
      </w:r>
      <w:r w:rsidR="00AB39A8" w:rsidRPr="00CB76DF">
        <w:rPr>
          <w:rFonts w:ascii="HelveticaNeue" w:hAnsi="HelveticaNeue" w:cs="Segoe UI"/>
          <w:sz w:val="24"/>
          <w:szCs w:val="24"/>
          <w:shd w:val="clear" w:color="auto" w:fill="FFFFFF"/>
        </w:rPr>
        <w:t>6.02</w:t>
      </w:r>
      <w:r w:rsidR="00036DDA" w:rsidRPr="00CB76DF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, 95%CI </w:t>
      </w:r>
      <w:r w:rsidR="00AB39A8" w:rsidRPr="00CB76DF">
        <w:rPr>
          <w:rFonts w:ascii="HelveticaNeue" w:hAnsi="HelveticaNeue" w:cs="Segoe UI"/>
          <w:sz w:val="24"/>
          <w:szCs w:val="24"/>
          <w:shd w:val="clear" w:color="auto" w:fill="FFFFFF"/>
        </w:rPr>
        <w:t>0.80-16.75</w:t>
      </w:r>
      <w:r w:rsidR="00036DDA" w:rsidRPr="00CB76DF">
        <w:rPr>
          <w:rFonts w:ascii="HelveticaNeue" w:hAnsi="HelveticaNeue" w:cs="Segoe UI"/>
          <w:sz w:val="24"/>
          <w:szCs w:val="24"/>
          <w:shd w:val="clear" w:color="auto" w:fill="FFFFFF"/>
        </w:rPr>
        <w:t>)</w:t>
      </w:r>
      <w:r w:rsidR="004D19F5" w:rsidRPr="00CB76DF">
        <w:rPr>
          <w:rFonts w:ascii="HelveticaNeue" w:hAnsi="HelveticaNeue" w:cs="Segoe UI"/>
          <w:sz w:val="24"/>
          <w:szCs w:val="24"/>
          <w:shd w:val="clear" w:color="auto" w:fill="FFFFFF"/>
        </w:rPr>
        <w:t xml:space="preserve"> (</w:t>
      </w:r>
      <w:r w:rsidR="007F2920" w:rsidRPr="00CB76DF">
        <w:rPr>
          <w:rFonts w:ascii="HelveticaNeue" w:hAnsi="HelveticaNeue" w:cs="Segoe UI"/>
          <w:sz w:val="24"/>
          <w:szCs w:val="24"/>
          <w:shd w:val="clear" w:color="auto" w:fill="FFFFFF"/>
        </w:rPr>
        <w:t>Table 1</w:t>
      </w:r>
      <w:r w:rsidR="004D19F5" w:rsidRPr="00CB76DF">
        <w:rPr>
          <w:rFonts w:ascii="HelveticaNeue" w:hAnsi="HelveticaNeue" w:cs="Segoe UI"/>
          <w:sz w:val="24"/>
          <w:szCs w:val="24"/>
          <w:shd w:val="clear" w:color="auto" w:fill="FFFFFF"/>
        </w:rPr>
        <w:t>)</w:t>
      </w:r>
      <w:r w:rsidR="007F2920" w:rsidRPr="00CB76DF">
        <w:rPr>
          <w:rFonts w:ascii="HelveticaNeue" w:hAnsi="HelveticaNeue" w:cs="Segoe UI"/>
          <w:sz w:val="24"/>
          <w:szCs w:val="24"/>
          <w:shd w:val="clear" w:color="auto" w:fill="FFFFFF"/>
        </w:rPr>
        <w:t>.</w:t>
      </w:r>
    </w:p>
    <w:p w14:paraId="7B1B7452" w14:textId="77777777" w:rsidR="002175E8" w:rsidRPr="00CB76DF" w:rsidRDefault="00FF101D" w:rsidP="00E54535">
      <w:pPr>
        <w:jc w:val="both"/>
        <w:rPr>
          <w:rFonts w:ascii="HelveticaNeue" w:eastAsia="Times New Roman" w:hAnsi="HelveticaNeue"/>
          <w:color w:val="000000"/>
          <w:sz w:val="24"/>
          <w:szCs w:val="24"/>
        </w:rPr>
      </w:pPr>
      <w:r w:rsidRPr="00CB76DF">
        <w:rPr>
          <w:rFonts w:ascii="HelveticaNeue" w:eastAsia="Times New Roman" w:hAnsi="HelveticaNeue"/>
          <w:color w:val="000000"/>
          <w:sz w:val="24"/>
          <w:szCs w:val="24"/>
        </w:rPr>
        <w:t>Conclusion</w:t>
      </w:r>
      <w:r w:rsidR="000A1383" w:rsidRPr="00CB76DF">
        <w:rPr>
          <w:rFonts w:ascii="HelveticaNeue" w:eastAsia="Times New Roman" w:hAnsi="HelveticaNeue"/>
          <w:color w:val="000000"/>
          <w:sz w:val="24"/>
          <w:szCs w:val="24"/>
        </w:rPr>
        <w:t>s</w:t>
      </w:r>
      <w:r w:rsidRPr="00CB76DF">
        <w:rPr>
          <w:rFonts w:ascii="HelveticaNeue" w:eastAsia="Times New Roman" w:hAnsi="HelveticaNeue"/>
          <w:color w:val="000000"/>
          <w:sz w:val="24"/>
          <w:szCs w:val="24"/>
        </w:rPr>
        <w:t>:</w:t>
      </w:r>
    </w:p>
    <w:p w14:paraId="10240B77" w14:textId="69E4BDE8" w:rsidR="00FF101D" w:rsidRPr="00CB76DF" w:rsidRDefault="00D90AF8" w:rsidP="00E54535">
      <w:pPr>
        <w:jc w:val="both"/>
        <w:rPr>
          <w:rFonts w:ascii="HelveticaNeue" w:eastAsia="Times New Roman" w:hAnsi="HelveticaNeue"/>
          <w:color w:val="000000"/>
          <w:sz w:val="24"/>
          <w:szCs w:val="24"/>
        </w:rPr>
      </w:pPr>
      <w:r w:rsidRPr="00CB76DF">
        <w:rPr>
          <w:rFonts w:ascii="HelveticaNeue" w:eastAsia="Times New Roman" w:hAnsi="HelveticaNeue"/>
          <w:color w:val="000000"/>
          <w:sz w:val="24"/>
          <w:szCs w:val="24"/>
        </w:rPr>
        <w:t>P</w:t>
      </w:r>
      <w:r w:rsidR="00F667EA" w:rsidRPr="00CB76DF">
        <w:rPr>
          <w:rFonts w:ascii="HelveticaNeue" w:eastAsia="Times New Roman" w:hAnsi="HelveticaNeue"/>
          <w:color w:val="000000"/>
          <w:sz w:val="24"/>
          <w:szCs w:val="24"/>
        </w:rPr>
        <w:t xml:space="preserve">rior </w:t>
      </w:r>
      <w:r w:rsidR="009F4DA8">
        <w:rPr>
          <w:rFonts w:ascii="HelveticaNeue" w:eastAsia="Times New Roman" w:hAnsi="HelveticaNeue"/>
          <w:color w:val="000000"/>
          <w:sz w:val="24"/>
          <w:szCs w:val="24"/>
        </w:rPr>
        <w:t xml:space="preserve">cardiac </w:t>
      </w:r>
      <w:r w:rsidR="00F667EA" w:rsidRPr="00CB76DF">
        <w:rPr>
          <w:rFonts w:ascii="HelveticaNeue" w:eastAsia="Times New Roman" w:hAnsi="HelveticaNeue"/>
          <w:color w:val="000000"/>
          <w:sz w:val="24"/>
          <w:szCs w:val="24"/>
        </w:rPr>
        <w:t>surgery</w:t>
      </w:r>
      <w:r w:rsidRPr="00CB76DF">
        <w:rPr>
          <w:rFonts w:ascii="HelveticaNeue" w:eastAsia="Times New Roman" w:hAnsi="HelveticaNeue"/>
          <w:color w:val="000000"/>
          <w:sz w:val="24"/>
          <w:szCs w:val="24"/>
        </w:rPr>
        <w:t xml:space="preserve"> and hypoxia</w:t>
      </w:r>
      <w:r w:rsidR="00F667EA" w:rsidRPr="00CB76DF">
        <w:rPr>
          <w:rFonts w:ascii="HelveticaNeue" w:eastAsia="Times New Roman" w:hAnsi="HelveticaNeue"/>
          <w:color w:val="000000"/>
          <w:sz w:val="24"/>
          <w:szCs w:val="24"/>
        </w:rPr>
        <w:t xml:space="preserve"> are each individually</w:t>
      </w:r>
      <w:r w:rsidR="00A44101" w:rsidRPr="00CB76DF">
        <w:rPr>
          <w:rFonts w:ascii="HelveticaNeue" w:eastAsia="Times New Roman" w:hAnsi="HelveticaNeue"/>
          <w:color w:val="000000"/>
          <w:sz w:val="24"/>
          <w:szCs w:val="24"/>
        </w:rPr>
        <w:t xml:space="preserve"> associated with</w:t>
      </w:r>
      <w:r w:rsidR="001F2AF8" w:rsidRPr="00CB76DF">
        <w:rPr>
          <w:rFonts w:ascii="HelveticaNeue" w:eastAsia="Times New Roman" w:hAnsi="HelveticaNeue"/>
          <w:color w:val="000000"/>
          <w:sz w:val="24"/>
          <w:szCs w:val="24"/>
        </w:rPr>
        <w:t xml:space="preserve"> </w:t>
      </w:r>
      <w:r w:rsidR="007D0EC0" w:rsidRPr="00CB76DF">
        <w:rPr>
          <w:rFonts w:ascii="HelveticaNeue" w:eastAsia="Times New Roman" w:hAnsi="HelveticaNeue"/>
          <w:color w:val="000000"/>
          <w:sz w:val="24"/>
          <w:szCs w:val="24"/>
        </w:rPr>
        <w:t>a</w:t>
      </w:r>
      <w:r w:rsidR="008A0804" w:rsidRPr="00CB76DF">
        <w:rPr>
          <w:rFonts w:ascii="HelveticaNeue" w:eastAsia="Times New Roman" w:hAnsi="HelveticaNeue"/>
          <w:color w:val="000000"/>
          <w:sz w:val="24"/>
          <w:szCs w:val="24"/>
        </w:rPr>
        <w:t>n</w:t>
      </w:r>
      <w:r w:rsidR="007D0EC0" w:rsidRPr="00CB76DF">
        <w:rPr>
          <w:rFonts w:ascii="HelveticaNeue" w:eastAsia="Times New Roman" w:hAnsi="HelveticaNeue"/>
          <w:color w:val="000000"/>
          <w:sz w:val="24"/>
          <w:szCs w:val="24"/>
        </w:rPr>
        <w:t xml:space="preserve"> </w:t>
      </w:r>
      <w:r w:rsidR="00F667EA" w:rsidRPr="00CB76DF">
        <w:rPr>
          <w:rFonts w:ascii="HelveticaNeue" w:eastAsia="Times New Roman" w:hAnsi="HelveticaNeue"/>
          <w:color w:val="000000"/>
          <w:sz w:val="24"/>
          <w:szCs w:val="24"/>
        </w:rPr>
        <w:t>increased</w:t>
      </w:r>
      <w:r w:rsidR="007D0EC0" w:rsidRPr="00CB76DF">
        <w:rPr>
          <w:rFonts w:ascii="HelveticaNeue" w:eastAsia="Times New Roman" w:hAnsi="HelveticaNeue"/>
          <w:color w:val="000000"/>
          <w:sz w:val="24"/>
          <w:szCs w:val="24"/>
        </w:rPr>
        <w:t xml:space="preserve"> risk </w:t>
      </w:r>
      <w:r w:rsidR="001F2AF8" w:rsidRPr="00CB76DF">
        <w:rPr>
          <w:rFonts w:ascii="HelveticaNeue" w:eastAsia="Times New Roman" w:hAnsi="HelveticaNeue"/>
          <w:color w:val="000000"/>
          <w:sz w:val="24"/>
          <w:szCs w:val="24"/>
        </w:rPr>
        <w:t xml:space="preserve">of </w:t>
      </w:r>
      <w:r w:rsidR="00A44101" w:rsidRPr="00CB76DF">
        <w:rPr>
          <w:rFonts w:ascii="HelveticaNeue" w:eastAsia="Times New Roman" w:hAnsi="HelveticaNeue"/>
          <w:color w:val="000000"/>
          <w:sz w:val="24"/>
          <w:szCs w:val="24"/>
        </w:rPr>
        <w:t>PFO closure failure</w:t>
      </w:r>
      <w:r w:rsidR="00F667EA" w:rsidRPr="00CB76DF">
        <w:rPr>
          <w:rFonts w:ascii="HelveticaNeue" w:eastAsia="Times New Roman" w:hAnsi="HelveticaNeue"/>
          <w:color w:val="000000"/>
          <w:sz w:val="24"/>
          <w:szCs w:val="24"/>
        </w:rPr>
        <w:t>.</w:t>
      </w:r>
      <w:r w:rsidR="001F2AF8" w:rsidRPr="00CB76DF">
        <w:rPr>
          <w:rFonts w:ascii="HelveticaNeue" w:eastAsia="Times New Roman" w:hAnsi="HelveticaNeue"/>
          <w:color w:val="000000"/>
          <w:sz w:val="24"/>
          <w:szCs w:val="24"/>
        </w:rPr>
        <w:t xml:space="preserve"> </w:t>
      </w:r>
      <w:r w:rsidRPr="00CB76DF">
        <w:rPr>
          <w:rFonts w:ascii="HelveticaNeue" w:eastAsia="Times New Roman" w:hAnsi="HelveticaNeue"/>
          <w:color w:val="000000"/>
          <w:sz w:val="24"/>
          <w:szCs w:val="24"/>
        </w:rPr>
        <w:t>ESRD may be associated with PFO closure failure as it was marginally significant. A large</w:t>
      </w:r>
      <w:r w:rsidR="00A370EC" w:rsidRPr="00CB76DF">
        <w:rPr>
          <w:rFonts w:ascii="HelveticaNeue" w:eastAsia="Times New Roman" w:hAnsi="HelveticaNeue"/>
          <w:color w:val="000000"/>
          <w:sz w:val="24"/>
          <w:szCs w:val="24"/>
        </w:rPr>
        <w:t>r</w:t>
      </w:r>
      <w:r w:rsidRPr="00CB76DF">
        <w:rPr>
          <w:rFonts w:ascii="HelveticaNeue" w:eastAsia="Times New Roman" w:hAnsi="HelveticaNeue"/>
          <w:color w:val="000000"/>
          <w:sz w:val="24"/>
          <w:szCs w:val="24"/>
        </w:rPr>
        <w:t xml:space="preserve"> </w:t>
      </w:r>
      <w:r w:rsidR="000A18AF" w:rsidRPr="00CB76DF">
        <w:rPr>
          <w:rFonts w:ascii="HelveticaNeue" w:eastAsia="Times New Roman" w:hAnsi="HelveticaNeue"/>
          <w:color w:val="000000"/>
          <w:sz w:val="24"/>
          <w:szCs w:val="24"/>
        </w:rPr>
        <w:t xml:space="preserve">study would be beneficial to sort out if marginally significant variables are truly </w:t>
      </w:r>
      <w:r w:rsidR="00790E75" w:rsidRPr="00CB76DF">
        <w:rPr>
          <w:rFonts w:ascii="HelveticaNeue" w:eastAsia="Times New Roman" w:hAnsi="HelveticaNeue"/>
          <w:color w:val="000000"/>
          <w:sz w:val="24"/>
          <w:szCs w:val="24"/>
        </w:rPr>
        <w:t xml:space="preserve">statistically </w:t>
      </w:r>
      <w:r w:rsidR="000A18AF" w:rsidRPr="00CB76DF">
        <w:rPr>
          <w:rFonts w:ascii="HelveticaNeue" w:eastAsia="Times New Roman" w:hAnsi="HelveticaNeue"/>
          <w:color w:val="000000"/>
          <w:sz w:val="24"/>
          <w:szCs w:val="24"/>
        </w:rPr>
        <w:t>significant</w:t>
      </w:r>
      <w:r w:rsidR="00790E75" w:rsidRPr="00CB76DF">
        <w:rPr>
          <w:rFonts w:ascii="HelveticaNeue" w:eastAsia="Times New Roman" w:hAnsi="HelveticaNeue"/>
          <w:color w:val="000000"/>
          <w:sz w:val="24"/>
          <w:szCs w:val="24"/>
        </w:rPr>
        <w:t xml:space="preserve"> predictors</w:t>
      </w:r>
      <w:r w:rsidR="000A18AF" w:rsidRPr="00CB76DF">
        <w:rPr>
          <w:rFonts w:ascii="HelveticaNeue" w:eastAsia="Times New Roman" w:hAnsi="HelveticaNeue"/>
          <w:color w:val="000000"/>
          <w:sz w:val="24"/>
          <w:szCs w:val="24"/>
        </w:rPr>
        <w:t xml:space="preserve">. </w:t>
      </w:r>
    </w:p>
    <w:p w14:paraId="1BBA9CE6" w14:textId="04A06F01" w:rsidR="007C242D" w:rsidRPr="00CB76DF" w:rsidRDefault="007C242D" w:rsidP="00FF101D"/>
    <w:p w14:paraId="57067A1D" w14:textId="5E216DF6" w:rsidR="00F667EA" w:rsidRPr="00CB76DF" w:rsidRDefault="00790E75" w:rsidP="00657CF1">
      <w:pPr>
        <w:tabs>
          <w:tab w:val="left" w:pos="5295"/>
        </w:tabs>
        <w:jc w:val="center"/>
        <w:rPr>
          <w:rFonts w:ascii="HelveticaNeue" w:eastAsia="Times New Roman" w:hAnsi="HelveticaNeue"/>
          <w:sz w:val="24"/>
          <w:szCs w:val="24"/>
        </w:rPr>
      </w:pPr>
      <w:r w:rsidRPr="00CB76DF">
        <w:rPr>
          <w:rFonts w:ascii="HelveticaNeue" w:eastAsia="Times New Roman" w:hAnsi="HelveticaNeue"/>
          <w:b/>
          <w:bCs/>
          <w:color w:val="000000"/>
        </w:rPr>
        <w:lastRenderedPageBreak/>
        <w:t>Table 1:</w:t>
      </w:r>
      <w:r w:rsidRPr="00CB76DF">
        <w:rPr>
          <w:rFonts w:ascii="HelveticaNeue" w:eastAsia="Times New Roman" w:hAnsi="HelveticaNeue"/>
          <w:color w:val="000000"/>
        </w:rPr>
        <w:t xml:space="preserve"> </w:t>
      </w:r>
      <w:r w:rsidRPr="00CB76DF">
        <w:rPr>
          <w:rFonts w:ascii="HelveticaNeue" w:eastAsia="Times New Roman" w:hAnsi="HelveticaNeue" w:cs="Calibri"/>
          <w:color w:val="000000"/>
        </w:rPr>
        <w:t>Univariates Survival Analyses: Cox regression model</w:t>
      </w:r>
      <w:r w:rsidRPr="00CB76DF" w:rsidDel="00790E75">
        <w:rPr>
          <w:rFonts w:ascii="HelveticaNeue" w:eastAsia="Times New Roman" w:hAnsi="HelveticaNeue"/>
          <w:b/>
          <w:bCs/>
          <w:sz w:val="24"/>
          <w:szCs w:val="24"/>
        </w:rPr>
        <w:t xml:space="preserve"> </w:t>
      </w:r>
    </w:p>
    <w:tbl>
      <w:tblPr>
        <w:tblStyle w:val="PlainTable4"/>
        <w:tblW w:w="4183" w:type="pct"/>
        <w:jc w:val="center"/>
        <w:tblLook w:val="04A0" w:firstRow="1" w:lastRow="0" w:firstColumn="1" w:lastColumn="0" w:noHBand="0" w:noVBand="1"/>
      </w:tblPr>
      <w:tblGrid>
        <w:gridCol w:w="3592"/>
        <w:gridCol w:w="1341"/>
        <w:gridCol w:w="1803"/>
        <w:gridCol w:w="1095"/>
      </w:tblGrid>
      <w:tr w:rsidR="00DF2BB4" w:rsidRPr="00CB76DF" w14:paraId="4ADA82FE" w14:textId="7CE59128" w:rsidTr="005A0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pct"/>
            <w:hideMark/>
          </w:tcPr>
          <w:p w14:paraId="2486DEB9" w14:textId="77777777" w:rsidR="00DF2BB4" w:rsidRPr="00CB76DF" w:rsidRDefault="00DF2BB4" w:rsidP="005A002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Predictor Variable</w:t>
            </w:r>
          </w:p>
        </w:tc>
        <w:tc>
          <w:tcPr>
            <w:tcW w:w="856" w:type="pct"/>
            <w:hideMark/>
          </w:tcPr>
          <w:p w14:paraId="44F4CD18" w14:textId="5732CD92" w:rsidR="00DF2BB4" w:rsidRPr="00CB76DF" w:rsidRDefault="00DF2BB4" w:rsidP="00296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Relative Risk</w:t>
            </w:r>
          </w:p>
        </w:tc>
        <w:tc>
          <w:tcPr>
            <w:tcW w:w="1151" w:type="pct"/>
            <w:hideMark/>
          </w:tcPr>
          <w:p w14:paraId="7E6CF140" w14:textId="1BF7C2A9" w:rsidR="00DF2BB4" w:rsidRPr="00CB76DF" w:rsidRDefault="00DF2BB4" w:rsidP="00296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RR  95% Confidence Interval</w:t>
            </w:r>
          </w:p>
        </w:tc>
        <w:tc>
          <w:tcPr>
            <w:tcW w:w="699" w:type="pct"/>
          </w:tcPr>
          <w:p w14:paraId="5161BF69" w14:textId="38395916" w:rsidR="00DF2BB4" w:rsidRPr="00CB76DF" w:rsidRDefault="00DF2BB4" w:rsidP="00296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P-value</w:t>
            </w:r>
          </w:p>
        </w:tc>
      </w:tr>
      <w:tr w:rsidR="005A0028" w:rsidRPr="00CB76DF" w14:paraId="7F8D116D" w14:textId="7F1DE37B" w:rsidTr="005A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pct"/>
            <w:hideMark/>
          </w:tcPr>
          <w:p w14:paraId="3BE01C8C" w14:textId="77777777" w:rsidR="00DF2BB4" w:rsidRPr="00CB76DF" w:rsidRDefault="00DF2BB4" w:rsidP="005A002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Age</w:t>
            </w:r>
          </w:p>
        </w:tc>
        <w:tc>
          <w:tcPr>
            <w:tcW w:w="856" w:type="pct"/>
            <w:hideMark/>
          </w:tcPr>
          <w:p w14:paraId="71F50F37" w14:textId="11AB8B09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1.01</w:t>
            </w:r>
          </w:p>
        </w:tc>
        <w:tc>
          <w:tcPr>
            <w:tcW w:w="1151" w:type="pct"/>
            <w:noWrap/>
            <w:hideMark/>
          </w:tcPr>
          <w:p w14:paraId="6155B155" w14:textId="77777777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9" w:type="pct"/>
          </w:tcPr>
          <w:p w14:paraId="6B55DB52" w14:textId="0B1B8147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0.6400</w:t>
            </w:r>
          </w:p>
        </w:tc>
      </w:tr>
      <w:tr w:rsidR="00DF2BB4" w:rsidRPr="00CB76DF" w14:paraId="6CE261B1" w14:textId="7F57E591" w:rsidTr="005A0028">
        <w:trPr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pct"/>
            <w:hideMark/>
          </w:tcPr>
          <w:p w14:paraId="61E273D0" w14:textId="16F1B3A5" w:rsidR="00DF2BB4" w:rsidRPr="00CB76DF" w:rsidRDefault="00DF2BB4" w:rsidP="005A002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Age range (31-49yo)</w:t>
            </w:r>
          </w:p>
        </w:tc>
        <w:tc>
          <w:tcPr>
            <w:tcW w:w="856" w:type="pct"/>
            <w:hideMark/>
          </w:tcPr>
          <w:p w14:paraId="35E9825B" w14:textId="7145E345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0.43</w:t>
            </w:r>
          </w:p>
        </w:tc>
        <w:tc>
          <w:tcPr>
            <w:tcW w:w="1151" w:type="pct"/>
            <w:noWrap/>
            <w:hideMark/>
          </w:tcPr>
          <w:p w14:paraId="5A3AB2A0" w14:textId="77777777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99" w:type="pct"/>
          </w:tcPr>
          <w:p w14:paraId="03A7830C" w14:textId="393B43EE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0.4499</w:t>
            </w:r>
          </w:p>
        </w:tc>
      </w:tr>
      <w:tr w:rsidR="005A0028" w:rsidRPr="00CB76DF" w14:paraId="6661277B" w14:textId="4C753341" w:rsidTr="005A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pct"/>
            <w:hideMark/>
          </w:tcPr>
          <w:p w14:paraId="43CAA289" w14:textId="1AEA8A43" w:rsidR="00DF2BB4" w:rsidRPr="00CB76DF" w:rsidRDefault="00DF2BB4" w:rsidP="005A002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Age range (50-64yo)</w:t>
            </w:r>
          </w:p>
        </w:tc>
        <w:tc>
          <w:tcPr>
            <w:tcW w:w="856" w:type="pct"/>
            <w:hideMark/>
          </w:tcPr>
          <w:p w14:paraId="2439EEDE" w14:textId="16E524F4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0.93</w:t>
            </w:r>
          </w:p>
        </w:tc>
        <w:tc>
          <w:tcPr>
            <w:tcW w:w="1151" w:type="pct"/>
            <w:noWrap/>
            <w:hideMark/>
          </w:tcPr>
          <w:p w14:paraId="5D8D6FD9" w14:textId="77777777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99" w:type="pct"/>
          </w:tcPr>
          <w:p w14:paraId="550CC63D" w14:textId="31A9D1B6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0.9481</w:t>
            </w:r>
          </w:p>
        </w:tc>
      </w:tr>
      <w:tr w:rsidR="00DF2BB4" w:rsidRPr="00CB76DF" w14:paraId="36030FA7" w14:textId="49BD253F" w:rsidTr="005A0028">
        <w:trPr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pct"/>
            <w:hideMark/>
          </w:tcPr>
          <w:p w14:paraId="383496E4" w14:textId="0C09EC6C" w:rsidR="00DF2BB4" w:rsidRPr="00CB76DF" w:rsidRDefault="00DF2BB4" w:rsidP="005A002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Age range (&gt;64)</w:t>
            </w:r>
          </w:p>
        </w:tc>
        <w:tc>
          <w:tcPr>
            <w:tcW w:w="856" w:type="pct"/>
            <w:hideMark/>
          </w:tcPr>
          <w:p w14:paraId="01B2591C" w14:textId="0E0B1077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0.73</w:t>
            </w:r>
          </w:p>
        </w:tc>
        <w:tc>
          <w:tcPr>
            <w:tcW w:w="1151" w:type="pct"/>
            <w:noWrap/>
            <w:hideMark/>
          </w:tcPr>
          <w:p w14:paraId="32113F25" w14:textId="77777777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9" w:type="pct"/>
          </w:tcPr>
          <w:p w14:paraId="3D845EF5" w14:textId="5ADEFB32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0.7958</w:t>
            </w:r>
          </w:p>
        </w:tc>
      </w:tr>
      <w:tr w:rsidR="005A0028" w:rsidRPr="00CB76DF" w14:paraId="342E36B8" w14:textId="47085967" w:rsidTr="005A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pct"/>
            <w:hideMark/>
          </w:tcPr>
          <w:p w14:paraId="2E7C554F" w14:textId="7DB61A3D" w:rsidR="00DF2BB4" w:rsidRPr="00CB76DF" w:rsidRDefault="00DF2BB4" w:rsidP="005A002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Male </w:t>
            </w:r>
            <w:r w:rsidRPr="00CB76DF">
              <w:rPr>
                <w:rFonts w:ascii="Arial" w:eastAsia="Times New Roman" w:hAnsi="Arial" w:cs="Arial"/>
                <w:color w:val="000000"/>
              </w:rPr>
              <w:t>Gender</w:t>
            </w:r>
          </w:p>
        </w:tc>
        <w:tc>
          <w:tcPr>
            <w:tcW w:w="856" w:type="pct"/>
            <w:hideMark/>
          </w:tcPr>
          <w:p w14:paraId="419923DA" w14:textId="51675710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1151" w:type="pct"/>
            <w:noWrap/>
            <w:hideMark/>
          </w:tcPr>
          <w:p w14:paraId="2B013298" w14:textId="77777777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9" w:type="pct"/>
          </w:tcPr>
          <w:p w14:paraId="01EFF191" w14:textId="3757A354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0.7842</w:t>
            </w:r>
          </w:p>
        </w:tc>
      </w:tr>
      <w:tr w:rsidR="00DF2BB4" w:rsidRPr="00CB76DF" w14:paraId="7B30FA6D" w14:textId="65E42230" w:rsidTr="005A0028">
        <w:trPr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pct"/>
            <w:hideMark/>
          </w:tcPr>
          <w:p w14:paraId="6BF5F63A" w14:textId="02045ECD" w:rsidR="00DF2BB4" w:rsidRPr="00CB76DF" w:rsidRDefault="00DF2BB4" w:rsidP="005A002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C00000"/>
              </w:rPr>
            </w:pPr>
            <w:r w:rsidRPr="00CB76DF">
              <w:rPr>
                <w:rFonts w:ascii="Arial" w:eastAsia="Times New Roman" w:hAnsi="Arial" w:cs="Arial"/>
                <w:color w:val="C00000"/>
              </w:rPr>
              <w:t xml:space="preserve">Prior </w:t>
            </w:r>
            <w:r>
              <w:rPr>
                <w:rFonts w:ascii="Arial" w:eastAsia="Times New Roman" w:hAnsi="Arial" w:cs="Arial"/>
                <w:color w:val="C00000"/>
              </w:rPr>
              <w:t xml:space="preserve">Cardiac </w:t>
            </w:r>
            <w:r w:rsidRPr="00CB76DF">
              <w:rPr>
                <w:rFonts w:ascii="Arial" w:eastAsia="Times New Roman" w:hAnsi="Arial" w:cs="Arial"/>
                <w:color w:val="C00000"/>
              </w:rPr>
              <w:t>Surgery</w:t>
            </w:r>
          </w:p>
        </w:tc>
        <w:tc>
          <w:tcPr>
            <w:tcW w:w="856" w:type="pct"/>
            <w:hideMark/>
          </w:tcPr>
          <w:p w14:paraId="65F33089" w14:textId="2AD0042E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CB76DF">
              <w:rPr>
                <w:rFonts w:ascii="Arial" w:eastAsia="Times New Roman" w:hAnsi="Arial" w:cs="Arial"/>
                <w:b/>
                <w:bCs/>
                <w:color w:val="C00000"/>
              </w:rPr>
              <w:t>3.94</w:t>
            </w:r>
          </w:p>
        </w:tc>
        <w:tc>
          <w:tcPr>
            <w:tcW w:w="1151" w:type="pct"/>
            <w:noWrap/>
            <w:hideMark/>
          </w:tcPr>
          <w:p w14:paraId="3D99E9AA" w14:textId="1BB842EB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CB76DF">
              <w:rPr>
                <w:rFonts w:ascii="Arial" w:eastAsia="Times New Roman" w:hAnsi="Arial" w:cs="Arial"/>
                <w:b/>
                <w:bCs/>
                <w:color w:val="C00000"/>
              </w:rPr>
              <w:t>1.06-14-57</w:t>
            </w:r>
          </w:p>
        </w:tc>
        <w:tc>
          <w:tcPr>
            <w:tcW w:w="699" w:type="pct"/>
          </w:tcPr>
          <w:p w14:paraId="4C8E0E00" w14:textId="38219227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CB76DF">
              <w:rPr>
                <w:rFonts w:ascii="Arial" w:eastAsia="Times New Roman" w:hAnsi="Arial" w:cs="Arial"/>
                <w:b/>
                <w:bCs/>
                <w:color w:val="C00000"/>
              </w:rPr>
              <w:t>0.0406</w:t>
            </w:r>
          </w:p>
        </w:tc>
      </w:tr>
      <w:tr w:rsidR="005A0028" w:rsidRPr="00CB76DF" w14:paraId="77F7BAB3" w14:textId="57474437" w:rsidTr="005A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pct"/>
            <w:noWrap/>
            <w:hideMark/>
          </w:tcPr>
          <w:p w14:paraId="21042FBF" w14:textId="2693C86C" w:rsidR="00DF2BB4" w:rsidRPr="00CB76DF" w:rsidRDefault="00DF2BB4" w:rsidP="004609A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Post-LVAD Closure</w:t>
            </w:r>
          </w:p>
        </w:tc>
        <w:tc>
          <w:tcPr>
            <w:tcW w:w="856" w:type="pct"/>
            <w:hideMark/>
          </w:tcPr>
          <w:p w14:paraId="0E160E4A" w14:textId="137BBFF4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3.09</w:t>
            </w:r>
          </w:p>
        </w:tc>
        <w:tc>
          <w:tcPr>
            <w:tcW w:w="1151" w:type="pct"/>
            <w:noWrap/>
            <w:hideMark/>
          </w:tcPr>
          <w:p w14:paraId="7F2EE201" w14:textId="77777777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9" w:type="pct"/>
          </w:tcPr>
          <w:p w14:paraId="41418B6D" w14:textId="7AF0A454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0.1466</w:t>
            </w:r>
          </w:p>
        </w:tc>
      </w:tr>
      <w:tr w:rsidR="00DF2BB4" w:rsidRPr="00CB76DF" w14:paraId="37B528FB" w14:textId="2E5F0C88" w:rsidTr="005A0028">
        <w:trPr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pct"/>
            <w:hideMark/>
          </w:tcPr>
          <w:p w14:paraId="75C261DB" w14:textId="221578F1" w:rsidR="00DF2BB4" w:rsidRPr="00CB76DF" w:rsidRDefault="00DF2BB4" w:rsidP="005A002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Prior Stroke or TIA</w:t>
            </w:r>
          </w:p>
        </w:tc>
        <w:tc>
          <w:tcPr>
            <w:tcW w:w="856" w:type="pct"/>
            <w:hideMark/>
          </w:tcPr>
          <w:p w14:paraId="2E80511C" w14:textId="43EF7C33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1301940</w:t>
            </w:r>
          </w:p>
        </w:tc>
        <w:tc>
          <w:tcPr>
            <w:tcW w:w="1151" w:type="pct"/>
            <w:noWrap/>
            <w:hideMark/>
          </w:tcPr>
          <w:p w14:paraId="0BB477D1" w14:textId="77777777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9" w:type="pct"/>
          </w:tcPr>
          <w:p w14:paraId="1E237594" w14:textId="7CDD1343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0.9924</w:t>
            </w:r>
          </w:p>
        </w:tc>
      </w:tr>
      <w:tr w:rsidR="005A0028" w:rsidRPr="00CB76DF" w14:paraId="6D1AEB71" w14:textId="2CE7E88D" w:rsidTr="005A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pct"/>
            <w:noWrap/>
            <w:hideMark/>
          </w:tcPr>
          <w:p w14:paraId="4749DCE7" w14:textId="1A91B721" w:rsidR="00DF2BB4" w:rsidRPr="00CB76DF" w:rsidRDefault="00DF2BB4" w:rsidP="005A002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C00000"/>
              </w:rPr>
            </w:pPr>
            <w:r w:rsidRPr="00CB76DF">
              <w:rPr>
                <w:rFonts w:ascii="Arial" w:eastAsia="Times New Roman" w:hAnsi="Arial" w:cs="Arial"/>
                <w:color w:val="C00000"/>
              </w:rPr>
              <w:t>Hypoxia on presentation</w:t>
            </w:r>
          </w:p>
        </w:tc>
        <w:tc>
          <w:tcPr>
            <w:tcW w:w="856" w:type="pct"/>
            <w:hideMark/>
          </w:tcPr>
          <w:p w14:paraId="64B77D6F" w14:textId="3126CDAB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CB76DF">
              <w:rPr>
                <w:rFonts w:ascii="Arial" w:eastAsia="Times New Roman" w:hAnsi="Arial" w:cs="Arial"/>
                <w:b/>
                <w:bCs/>
                <w:color w:val="C00000"/>
              </w:rPr>
              <w:t>3.41</w:t>
            </w:r>
          </w:p>
        </w:tc>
        <w:tc>
          <w:tcPr>
            <w:tcW w:w="1151" w:type="pct"/>
            <w:hideMark/>
          </w:tcPr>
          <w:p w14:paraId="6E53ED07" w14:textId="116E34D2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CB76DF">
              <w:rPr>
                <w:rFonts w:ascii="Arial" w:eastAsia="Times New Roman" w:hAnsi="Arial" w:cs="Arial"/>
                <w:b/>
                <w:bCs/>
                <w:color w:val="C00000"/>
              </w:rPr>
              <w:t>1.18-9.81</w:t>
            </w:r>
          </w:p>
        </w:tc>
        <w:tc>
          <w:tcPr>
            <w:tcW w:w="699" w:type="pct"/>
          </w:tcPr>
          <w:p w14:paraId="3759670D" w14:textId="4838EF25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CB76DF">
              <w:rPr>
                <w:rFonts w:ascii="Arial" w:eastAsia="Times New Roman" w:hAnsi="Arial" w:cs="Arial"/>
                <w:b/>
                <w:bCs/>
                <w:color w:val="C00000"/>
              </w:rPr>
              <w:t>0.0234</w:t>
            </w:r>
          </w:p>
        </w:tc>
      </w:tr>
      <w:tr w:rsidR="00DF2BB4" w:rsidRPr="00CB76DF" w14:paraId="009D0495" w14:textId="6E67E9A3" w:rsidTr="005A0028">
        <w:trPr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pct"/>
            <w:hideMark/>
          </w:tcPr>
          <w:p w14:paraId="3CC74A95" w14:textId="488483DF" w:rsidR="00DF2BB4" w:rsidRPr="00CB76DF" w:rsidRDefault="00DF2BB4" w:rsidP="005A002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Hypertension</w:t>
            </w:r>
          </w:p>
        </w:tc>
        <w:tc>
          <w:tcPr>
            <w:tcW w:w="856" w:type="pct"/>
            <w:hideMark/>
          </w:tcPr>
          <w:p w14:paraId="007751D8" w14:textId="62D08B95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0.69</w:t>
            </w:r>
          </w:p>
        </w:tc>
        <w:tc>
          <w:tcPr>
            <w:tcW w:w="1151" w:type="pct"/>
            <w:noWrap/>
            <w:hideMark/>
          </w:tcPr>
          <w:p w14:paraId="7C8B871C" w14:textId="77777777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9" w:type="pct"/>
          </w:tcPr>
          <w:p w14:paraId="0F12A537" w14:textId="4B3B3762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0.4421</w:t>
            </w:r>
          </w:p>
        </w:tc>
      </w:tr>
      <w:tr w:rsidR="005A0028" w:rsidRPr="00CB76DF" w14:paraId="298322EE" w14:textId="0D891487" w:rsidTr="005A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pct"/>
            <w:hideMark/>
          </w:tcPr>
          <w:p w14:paraId="22C57863" w14:textId="70A652E5" w:rsidR="00DF2BB4" w:rsidRPr="00CB76DF" w:rsidRDefault="00DF2BB4" w:rsidP="005A002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Hyperlipidemia</w:t>
            </w:r>
          </w:p>
        </w:tc>
        <w:tc>
          <w:tcPr>
            <w:tcW w:w="856" w:type="pct"/>
            <w:hideMark/>
          </w:tcPr>
          <w:p w14:paraId="0E0476F3" w14:textId="2ED11917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1.72</w:t>
            </w:r>
          </w:p>
        </w:tc>
        <w:tc>
          <w:tcPr>
            <w:tcW w:w="1151" w:type="pct"/>
            <w:noWrap/>
            <w:hideMark/>
          </w:tcPr>
          <w:p w14:paraId="5C54039F" w14:textId="77777777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9" w:type="pct"/>
          </w:tcPr>
          <w:p w14:paraId="6CE66C3C" w14:textId="39C87561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0.2756</w:t>
            </w:r>
          </w:p>
        </w:tc>
      </w:tr>
      <w:tr w:rsidR="00DF2BB4" w:rsidRPr="00CB76DF" w14:paraId="25E87B88" w14:textId="7CB71DC8" w:rsidTr="005A0028">
        <w:trPr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pct"/>
            <w:hideMark/>
          </w:tcPr>
          <w:p w14:paraId="26DFD3A9" w14:textId="2E45432A" w:rsidR="00DF2BB4" w:rsidRPr="00CB76DF" w:rsidRDefault="00DF2BB4" w:rsidP="005A002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Diabetes Mellitus</w:t>
            </w:r>
          </w:p>
        </w:tc>
        <w:tc>
          <w:tcPr>
            <w:tcW w:w="856" w:type="pct"/>
            <w:hideMark/>
          </w:tcPr>
          <w:p w14:paraId="741EC7C6" w14:textId="1E3DE7DD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0.73</w:t>
            </w:r>
          </w:p>
        </w:tc>
        <w:tc>
          <w:tcPr>
            <w:tcW w:w="1151" w:type="pct"/>
            <w:noWrap/>
            <w:hideMark/>
          </w:tcPr>
          <w:p w14:paraId="5BE2ECCA" w14:textId="77777777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9" w:type="pct"/>
          </w:tcPr>
          <w:p w14:paraId="3AC91D47" w14:textId="5A4BEEB7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0.7700</w:t>
            </w:r>
          </w:p>
        </w:tc>
      </w:tr>
      <w:tr w:rsidR="005A0028" w:rsidRPr="00CB76DF" w14:paraId="0CB6EE52" w14:textId="6E7B72F1" w:rsidTr="005A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pct"/>
            <w:hideMark/>
          </w:tcPr>
          <w:p w14:paraId="03588D1B" w14:textId="617EE49C" w:rsidR="00DF2BB4" w:rsidRPr="00CB76DF" w:rsidRDefault="00DF2BB4" w:rsidP="005A002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C00000"/>
              </w:rPr>
            </w:pPr>
            <w:r w:rsidRPr="00CB76DF">
              <w:rPr>
                <w:rFonts w:ascii="Arial" w:eastAsia="Times New Roman" w:hAnsi="Arial" w:cs="Arial"/>
                <w:color w:val="C00000"/>
              </w:rPr>
              <w:t>Atrial Fibrillation</w:t>
            </w:r>
          </w:p>
        </w:tc>
        <w:tc>
          <w:tcPr>
            <w:tcW w:w="856" w:type="pct"/>
            <w:hideMark/>
          </w:tcPr>
          <w:p w14:paraId="39BF837B" w14:textId="5B48851F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CB76DF">
              <w:rPr>
                <w:rFonts w:ascii="Arial" w:eastAsia="Times New Roman" w:hAnsi="Arial" w:cs="Arial"/>
                <w:b/>
                <w:bCs/>
                <w:color w:val="C00000"/>
              </w:rPr>
              <w:t>6.02</w:t>
            </w:r>
          </w:p>
        </w:tc>
        <w:tc>
          <w:tcPr>
            <w:tcW w:w="1151" w:type="pct"/>
            <w:noWrap/>
            <w:hideMark/>
          </w:tcPr>
          <w:p w14:paraId="0323D676" w14:textId="1CD1421F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CB76DF">
              <w:rPr>
                <w:rFonts w:ascii="Arial" w:eastAsia="Times New Roman" w:hAnsi="Arial" w:cs="Arial"/>
                <w:b/>
                <w:bCs/>
                <w:color w:val="C00000"/>
              </w:rPr>
              <w:t>1.93-18.54</w:t>
            </w:r>
          </w:p>
        </w:tc>
        <w:tc>
          <w:tcPr>
            <w:tcW w:w="699" w:type="pct"/>
          </w:tcPr>
          <w:p w14:paraId="7AD575B4" w14:textId="2E11D293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CB76DF">
              <w:rPr>
                <w:rFonts w:ascii="Arial" w:eastAsia="Times New Roman" w:hAnsi="Arial" w:cs="Arial"/>
                <w:b/>
                <w:bCs/>
                <w:color w:val="C00000"/>
              </w:rPr>
              <w:t>0.0019</w:t>
            </w:r>
          </w:p>
        </w:tc>
      </w:tr>
      <w:tr w:rsidR="00DF2BB4" w:rsidRPr="00CB76DF" w14:paraId="27381CEE" w14:textId="48D33824" w:rsidTr="005A0028">
        <w:trPr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pct"/>
            <w:hideMark/>
          </w:tcPr>
          <w:p w14:paraId="60E177AF" w14:textId="77777777" w:rsidR="00DF2BB4" w:rsidRPr="00CB76DF" w:rsidRDefault="00DF2BB4" w:rsidP="005A002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4472C4" w:themeColor="accent1"/>
              </w:rPr>
            </w:pPr>
            <w:r w:rsidRPr="00CB76DF">
              <w:rPr>
                <w:rFonts w:ascii="Arial" w:eastAsia="Times New Roman" w:hAnsi="Arial" w:cs="Arial"/>
                <w:color w:val="4472C4" w:themeColor="accent1"/>
              </w:rPr>
              <w:t>ESRD</w:t>
            </w:r>
          </w:p>
        </w:tc>
        <w:tc>
          <w:tcPr>
            <w:tcW w:w="856" w:type="pct"/>
            <w:hideMark/>
          </w:tcPr>
          <w:p w14:paraId="3F9AD300" w14:textId="0D710E6A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472C4" w:themeColor="accent1"/>
              </w:rPr>
            </w:pPr>
            <w:r w:rsidRPr="00CB76DF">
              <w:rPr>
                <w:rFonts w:ascii="Arial" w:eastAsia="Times New Roman" w:hAnsi="Arial" w:cs="Arial"/>
                <w:b/>
                <w:bCs/>
                <w:color w:val="4472C4" w:themeColor="accent1"/>
              </w:rPr>
              <w:t>3.68</w:t>
            </w:r>
          </w:p>
        </w:tc>
        <w:tc>
          <w:tcPr>
            <w:tcW w:w="1151" w:type="pct"/>
            <w:noWrap/>
            <w:hideMark/>
          </w:tcPr>
          <w:p w14:paraId="319D7873" w14:textId="5ABD269F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472C4" w:themeColor="accent1"/>
              </w:rPr>
            </w:pPr>
            <w:r w:rsidRPr="00CB76DF">
              <w:rPr>
                <w:rFonts w:ascii="Arial" w:eastAsia="Times New Roman" w:hAnsi="Arial" w:cs="Arial"/>
                <w:b/>
                <w:bCs/>
                <w:color w:val="4472C4" w:themeColor="accent1"/>
              </w:rPr>
              <w:t>0.80-16.75</w:t>
            </w:r>
          </w:p>
        </w:tc>
        <w:tc>
          <w:tcPr>
            <w:tcW w:w="699" w:type="pct"/>
          </w:tcPr>
          <w:p w14:paraId="18ED373F" w14:textId="7CC8210C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472C4" w:themeColor="accent1"/>
              </w:rPr>
            </w:pPr>
            <w:r w:rsidRPr="00CB76DF">
              <w:rPr>
                <w:rFonts w:ascii="Arial" w:eastAsia="Times New Roman" w:hAnsi="Arial" w:cs="Arial"/>
                <w:b/>
                <w:bCs/>
                <w:color w:val="4472C4" w:themeColor="accent1"/>
              </w:rPr>
              <w:t>0.0925</w:t>
            </w:r>
          </w:p>
        </w:tc>
      </w:tr>
      <w:tr w:rsidR="005A0028" w:rsidRPr="00CB76DF" w14:paraId="37F4575C" w14:textId="12CC7116" w:rsidTr="005A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pct"/>
            <w:hideMark/>
          </w:tcPr>
          <w:p w14:paraId="2EBAA118" w14:textId="0845C61A" w:rsidR="00DF2BB4" w:rsidRPr="00CB76DF" w:rsidRDefault="00DF2BB4" w:rsidP="005A002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Rheumatic Disease</w:t>
            </w:r>
          </w:p>
        </w:tc>
        <w:tc>
          <w:tcPr>
            <w:tcW w:w="856" w:type="pct"/>
            <w:hideMark/>
          </w:tcPr>
          <w:p w14:paraId="4A113A3B" w14:textId="66722764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0.80</w:t>
            </w:r>
          </w:p>
        </w:tc>
        <w:tc>
          <w:tcPr>
            <w:tcW w:w="1151" w:type="pct"/>
            <w:noWrap/>
            <w:hideMark/>
          </w:tcPr>
          <w:p w14:paraId="11F3B3D7" w14:textId="77777777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9" w:type="pct"/>
          </w:tcPr>
          <w:p w14:paraId="16219E73" w14:textId="24A8CCC9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0.8314</w:t>
            </w:r>
          </w:p>
        </w:tc>
      </w:tr>
      <w:tr w:rsidR="00DF2BB4" w:rsidRPr="00CB76DF" w14:paraId="1C0E3B0E" w14:textId="203B76C2" w:rsidTr="005A0028">
        <w:trPr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pct"/>
            <w:hideMark/>
          </w:tcPr>
          <w:p w14:paraId="33C83233" w14:textId="77777777" w:rsidR="00DF2BB4" w:rsidRPr="00CB76DF" w:rsidRDefault="00DF2BB4" w:rsidP="005A002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Migraines</w:t>
            </w:r>
          </w:p>
        </w:tc>
        <w:tc>
          <w:tcPr>
            <w:tcW w:w="856" w:type="pct"/>
            <w:hideMark/>
          </w:tcPr>
          <w:p w14:paraId="41B9B3FF" w14:textId="51C4D3DB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0.76</w:t>
            </w:r>
          </w:p>
        </w:tc>
        <w:tc>
          <w:tcPr>
            <w:tcW w:w="1151" w:type="pct"/>
            <w:noWrap/>
            <w:hideMark/>
          </w:tcPr>
          <w:p w14:paraId="0C3B1528" w14:textId="77777777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9" w:type="pct"/>
          </w:tcPr>
          <w:p w14:paraId="7CF7C893" w14:textId="7AC50592" w:rsidR="00DF2BB4" w:rsidRPr="00CB76DF" w:rsidRDefault="00DF2BB4" w:rsidP="0029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0.6416</w:t>
            </w:r>
          </w:p>
        </w:tc>
      </w:tr>
      <w:tr w:rsidR="005A0028" w:rsidRPr="00CB76DF" w14:paraId="398AABEA" w14:textId="5D898367" w:rsidTr="005A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pct"/>
            <w:hideMark/>
          </w:tcPr>
          <w:p w14:paraId="68FC4AB2" w14:textId="5AB5BAC4" w:rsidR="00DF2BB4" w:rsidRPr="00CB76DF" w:rsidRDefault="00DF2BB4" w:rsidP="005A002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Congenital Disease</w:t>
            </w:r>
          </w:p>
        </w:tc>
        <w:tc>
          <w:tcPr>
            <w:tcW w:w="856" w:type="pct"/>
            <w:hideMark/>
          </w:tcPr>
          <w:p w14:paraId="2D097883" w14:textId="0BFB71B7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0.54</w:t>
            </w:r>
          </w:p>
        </w:tc>
        <w:tc>
          <w:tcPr>
            <w:tcW w:w="1151" w:type="pct"/>
            <w:noWrap/>
            <w:hideMark/>
          </w:tcPr>
          <w:p w14:paraId="5F60F2C2" w14:textId="77777777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9" w:type="pct"/>
          </w:tcPr>
          <w:p w14:paraId="234D21BF" w14:textId="7373A7F9" w:rsidR="00DF2BB4" w:rsidRPr="00CB76DF" w:rsidRDefault="00DF2BB4" w:rsidP="00296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CB76DF">
              <w:rPr>
                <w:rFonts w:ascii="Arial" w:eastAsia="Times New Roman" w:hAnsi="Arial" w:cs="Arial"/>
                <w:color w:val="000000"/>
              </w:rPr>
              <w:t>0.4078</w:t>
            </w:r>
          </w:p>
        </w:tc>
      </w:tr>
    </w:tbl>
    <w:p w14:paraId="705D494D" w14:textId="77777777" w:rsidR="00802BF8" w:rsidRPr="00CB76DF" w:rsidRDefault="00802BF8" w:rsidP="00E20A73">
      <w:pPr>
        <w:tabs>
          <w:tab w:val="left" w:pos="5295"/>
        </w:tabs>
        <w:jc w:val="center"/>
        <w:rPr>
          <w:rFonts w:ascii="HelveticaNeue" w:eastAsia="Times New Roman" w:hAnsi="HelveticaNeue"/>
          <w:i/>
          <w:iCs/>
        </w:rPr>
      </w:pPr>
    </w:p>
    <w:p w14:paraId="24249F8C" w14:textId="77777777" w:rsidR="00802BF8" w:rsidRPr="00CB76DF" w:rsidRDefault="00802BF8" w:rsidP="00E20A73">
      <w:pPr>
        <w:tabs>
          <w:tab w:val="left" w:pos="5295"/>
        </w:tabs>
        <w:jc w:val="center"/>
        <w:rPr>
          <w:rFonts w:ascii="HelveticaNeue" w:eastAsia="Times New Roman" w:hAnsi="HelveticaNeue"/>
          <w:i/>
          <w:iCs/>
        </w:rPr>
      </w:pPr>
    </w:p>
    <w:p w14:paraId="3C76E48D" w14:textId="32910AD4" w:rsidR="00164526" w:rsidRPr="00CB76DF" w:rsidRDefault="00410846" w:rsidP="00E20A73">
      <w:pPr>
        <w:tabs>
          <w:tab w:val="left" w:pos="5295"/>
        </w:tabs>
        <w:jc w:val="center"/>
        <w:rPr>
          <w:rFonts w:ascii="HelveticaNeue" w:eastAsia="Times New Roman" w:hAnsi="HelveticaNeue"/>
          <w:i/>
          <w:iCs/>
        </w:rPr>
      </w:pPr>
      <w:r w:rsidRPr="00CB76DF">
        <w:rPr>
          <w:rFonts w:ascii="HelveticaNeue" w:eastAsia="Times New Roman" w:hAnsi="HelveticaNeue"/>
          <w:i/>
          <w:iCs/>
        </w:rPr>
        <w:t>Statistically s</w:t>
      </w:r>
      <w:r w:rsidR="00164526" w:rsidRPr="00CB76DF">
        <w:rPr>
          <w:rFonts w:ascii="HelveticaNeue" w:eastAsia="Times New Roman" w:hAnsi="HelveticaNeue"/>
          <w:i/>
          <w:iCs/>
        </w:rPr>
        <w:t xml:space="preserve">ignificant P values (P &lt; 0.05) are highlighted in red with </w:t>
      </w:r>
      <w:r w:rsidRPr="00CB76DF">
        <w:rPr>
          <w:rFonts w:ascii="HelveticaNeue" w:eastAsia="Times New Roman" w:hAnsi="HelveticaNeue"/>
          <w:i/>
          <w:iCs/>
        </w:rPr>
        <w:t xml:space="preserve">the associated </w:t>
      </w:r>
      <w:r w:rsidR="00164526" w:rsidRPr="00CB76DF">
        <w:rPr>
          <w:rFonts w:ascii="HelveticaNeue" w:eastAsia="Times New Roman" w:hAnsi="HelveticaNeue"/>
          <w:i/>
          <w:iCs/>
        </w:rPr>
        <w:t>relative risk</w:t>
      </w:r>
      <w:r w:rsidRPr="00CB76DF">
        <w:rPr>
          <w:rFonts w:ascii="HelveticaNeue" w:eastAsia="Times New Roman" w:hAnsi="HelveticaNeue"/>
          <w:i/>
          <w:iCs/>
        </w:rPr>
        <w:t xml:space="preserve"> (RR)</w:t>
      </w:r>
      <w:r w:rsidR="00164526" w:rsidRPr="00CB76DF">
        <w:rPr>
          <w:rFonts w:ascii="HelveticaNeue" w:eastAsia="Times New Roman" w:hAnsi="HelveticaNeue"/>
          <w:i/>
          <w:iCs/>
        </w:rPr>
        <w:t xml:space="preserve">. Marginally significant P values (0.05 </w:t>
      </w:r>
      <w:r w:rsidR="00CB76DF" w:rsidRPr="00CB76DF">
        <w:rPr>
          <w:rFonts w:ascii="Arial" w:eastAsia="Times New Roman" w:hAnsi="Arial" w:cs="Arial"/>
          <w:i/>
          <w:iCs/>
        </w:rPr>
        <w:t>≤</w:t>
      </w:r>
      <w:r w:rsidRPr="00CB76DF">
        <w:rPr>
          <w:rFonts w:ascii="HelveticaNeue" w:eastAsia="Times New Roman" w:hAnsi="HelveticaNeue"/>
          <w:i/>
          <w:iCs/>
        </w:rPr>
        <w:t xml:space="preserve"> P &lt;</w:t>
      </w:r>
      <w:r w:rsidR="00164526" w:rsidRPr="00CB76DF">
        <w:rPr>
          <w:rFonts w:ascii="HelveticaNeue" w:eastAsia="Times New Roman" w:hAnsi="HelveticaNeue"/>
          <w:i/>
          <w:iCs/>
        </w:rPr>
        <w:t xml:space="preserve"> 0.10) are highlighted in blue with </w:t>
      </w:r>
      <w:r w:rsidRPr="00CB76DF">
        <w:rPr>
          <w:rFonts w:ascii="HelveticaNeue" w:eastAsia="Times New Roman" w:hAnsi="HelveticaNeue"/>
          <w:i/>
          <w:iCs/>
        </w:rPr>
        <w:t>the associated</w:t>
      </w:r>
      <w:r w:rsidR="00164526" w:rsidRPr="00CB76DF">
        <w:rPr>
          <w:rFonts w:ascii="HelveticaNeue" w:eastAsia="Times New Roman" w:hAnsi="HelveticaNeue"/>
          <w:i/>
          <w:iCs/>
        </w:rPr>
        <w:t xml:space="preserve"> relative risk</w:t>
      </w:r>
      <w:r w:rsidRPr="00CB76DF">
        <w:rPr>
          <w:rFonts w:ascii="HelveticaNeue" w:eastAsia="Times New Roman" w:hAnsi="HelveticaNeue"/>
          <w:i/>
          <w:iCs/>
        </w:rPr>
        <w:t xml:space="preserve"> (RR)</w:t>
      </w:r>
      <w:r w:rsidR="00164526" w:rsidRPr="00CB76DF">
        <w:rPr>
          <w:rFonts w:ascii="HelveticaNeue" w:eastAsia="Times New Roman" w:hAnsi="HelveticaNeue"/>
          <w:i/>
          <w:iCs/>
        </w:rPr>
        <w:t>.</w:t>
      </w:r>
      <w:r w:rsidR="00F042AA" w:rsidRPr="00CB76DF">
        <w:rPr>
          <w:rFonts w:ascii="HelveticaNeue" w:eastAsia="Times New Roman" w:hAnsi="HelveticaNeue"/>
          <w:i/>
          <w:iCs/>
        </w:rPr>
        <w:t xml:space="preserve"> </w:t>
      </w:r>
      <w:r w:rsidR="00F042AA" w:rsidRPr="00CB76DF">
        <w:rPr>
          <w:rFonts w:ascii="HelveticaNeue" w:eastAsia="Times New Roman" w:hAnsi="HelveticaNeue"/>
          <w:color w:val="000000"/>
          <w:sz w:val="20"/>
          <w:szCs w:val="20"/>
        </w:rPr>
        <w:t>95%</w:t>
      </w:r>
      <w:r w:rsidR="005B49C5">
        <w:rPr>
          <w:rFonts w:ascii="HelveticaNeue" w:eastAsia="Times New Roman" w:hAnsi="HelveticaNeue"/>
          <w:color w:val="000000"/>
          <w:sz w:val="20"/>
          <w:szCs w:val="20"/>
        </w:rPr>
        <w:t xml:space="preserve"> </w:t>
      </w:r>
      <w:r w:rsidR="00F042AA" w:rsidRPr="00CB76DF">
        <w:rPr>
          <w:rFonts w:ascii="HelveticaNeue" w:eastAsia="Times New Roman" w:hAnsi="HelveticaNeue"/>
          <w:color w:val="000000"/>
          <w:sz w:val="20"/>
          <w:szCs w:val="20"/>
        </w:rPr>
        <w:t>C</w:t>
      </w:r>
      <w:r w:rsidR="005B49C5">
        <w:rPr>
          <w:rFonts w:ascii="HelveticaNeue" w:eastAsia="Times New Roman" w:hAnsi="HelveticaNeue"/>
          <w:color w:val="000000"/>
          <w:sz w:val="20"/>
          <w:szCs w:val="20"/>
        </w:rPr>
        <w:t xml:space="preserve">I </w:t>
      </w:r>
      <w:r w:rsidR="00F042AA" w:rsidRPr="00CB76DF">
        <w:rPr>
          <w:rFonts w:ascii="HelveticaNeue" w:eastAsia="Times New Roman" w:hAnsi="HelveticaNeue"/>
          <w:color w:val="000000"/>
          <w:sz w:val="20"/>
          <w:szCs w:val="20"/>
        </w:rPr>
        <w:t>is for RR are shown only for the statistically significant predictor variables.</w:t>
      </w:r>
    </w:p>
    <w:p w14:paraId="4ACE5BD5" w14:textId="77777777" w:rsidR="0017212C" w:rsidRDefault="0017212C" w:rsidP="002A0956">
      <w:pPr>
        <w:rPr>
          <w:rFonts w:ascii="HelveticaNeue" w:eastAsia="Times New Roman" w:hAnsi="HelveticaNeue"/>
          <w:color w:val="000000"/>
          <w:sz w:val="24"/>
          <w:szCs w:val="24"/>
        </w:rPr>
      </w:pPr>
    </w:p>
    <w:p w14:paraId="53904A3A" w14:textId="43847020" w:rsidR="002A0956" w:rsidRPr="00CB76DF" w:rsidRDefault="002A0956" w:rsidP="002A0956">
      <w:pPr>
        <w:rPr>
          <w:rFonts w:ascii="HelveticaNeue" w:eastAsia="Times New Roman" w:hAnsi="HelveticaNeue"/>
          <w:color w:val="000000"/>
          <w:sz w:val="24"/>
          <w:szCs w:val="24"/>
        </w:rPr>
      </w:pPr>
      <w:r w:rsidRPr="00CB76DF">
        <w:rPr>
          <w:rFonts w:ascii="HelveticaNeue" w:eastAsia="Times New Roman" w:hAnsi="HelveticaNeue"/>
          <w:color w:val="000000"/>
          <w:sz w:val="24"/>
          <w:szCs w:val="24"/>
        </w:rPr>
        <w:t>References:</w:t>
      </w:r>
    </w:p>
    <w:p w14:paraId="143FEB4C" w14:textId="2AC56FC1" w:rsidR="001C022D" w:rsidRPr="00745ECC" w:rsidRDefault="001C022D" w:rsidP="00D83B2A">
      <w:pPr>
        <w:pStyle w:val="NormalWeb"/>
        <w:numPr>
          <w:ilvl w:val="0"/>
          <w:numId w:val="1"/>
        </w:numPr>
        <w:rPr>
          <w:rFonts w:ascii="HelveticaNeue" w:hAnsi="HelveticaNeue"/>
          <w:color w:val="000000"/>
        </w:rPr>
      </w:pPr>
      <w:r w:rsidRPr="00745ECC">
        <w:rPr>
          <w:rFonts w:ascii="HelveticaNeue" w:hAnsi="HelveticaNeue" w:cs="Segoe UI"/>
          <w:color w:val="212121"/>
          <w:shd w:val="clear" w:color="auto" w:fill="FFFFFF"/>
        </w:rPr>
        <w:t xml:space="preserve">Bianco V, </w:t>
      </w:r>
      <w:proofErr w:type="spellStart"/>
      <w:r w:rsidRPr="00745ECC">
        <w:rPr>
          <w:rFonts w:ascii="HelveticaNeue" w:hAnsi="HelveticaNeue" w:cs="Segoe UI"/>
          <w:color w:val="212121"/>
          <w:shd w:val="clear" w:color="auto" w:fill="FFFFFF"/>
        </w:rPr>
        <w:t>Kilic</w:t>
      </w:r>
      <w:proofErr w:type="spellEnd"/>
      <w:r w:rsidRPr="00745ECC">
        <w:rPr>
          <w:rFonts w:ascii="HelveticaNeue" w:hAnsi="HelveticaNeue" w:cs="Segoe UI"/>
          <w:color w:val="212121"/>
          <w:shd w:val="clear" w:color="auto" w:fill="FFFFFF"/>
        </w:rPr>
        <w:t xml:space="preserve"> A, Gleason TG, Aranda-Michel E, </w:t>
      </w:r>
      <w:proofErr w:type="spellStart"/>
      <w:r w:rsidRPr="00745ECC">
        <w:rPr>
          <w:rFonts w:ascii="HelveticaNeue" w:hAnsi="HelveticaNeue" w:cs="Segoe UI"/>
          <w:color w:val="212121"/>
          <w:shd w:val="clear" w:color="auto" w:fill="FFFFFF"/>
        </w:rPr>
        <w:t>Habertheuer</w:t>
      </w:r>
      <w:proofErr w:type="spellEnd"/>
      <w:r w:rsidRPr="00745ECC">
        <w:rPr>
          <w:rFonts w:ascii="HelveticaNeue" w:hAnsi="HelveticaNeue" w:cs="Segoe UI"/>
          <w:color w:val="212121"/>
          <w:shd w:val="clear" w:color="auto" w:fill="FFFFFF"/>
        </w:rPr>
        <w:t xml:space="preserve"> A, Wang Y, </w:t>
      </w:r>
      <w:proofErr w:type="spellStart"/>
      <w:r w:rsidRPr="00745ECC">
        <w:rPr>
          <w:rFonts w:ascii="HelveticaNeue" w:hAnsi="HelveticaNeue" w:cs="Segoe UI"/>
          <w:color w:val="212121"/>
          <w:shd w:val="clear" w:color="auto" w:fill="FFFFFF"/>
        </w:rPr>
        <w:t>Navid</w:t>
      </w:r>
      <w:proofErr w:type="spellEnd"/>
      <w:r w:rsidRPr="00745ECC">
        <w:rPr>
          <w:rFonts w:ascii="HelveticaNeue" w:hAnsi="HelveticaNeue" w:cs="Segoe UI"/>
          <w:color w:val="212121"/>
          <w:shd w:val="clear" w:color="auto" w:fill="FFFFFF"/>
        </w:rPr>
        <w:t xml:space="preserve"> F, </w:t>
      </w:r>
      <w:proofErr w:type="spellStart"/>
      <w:r w:rsidRPr="00745ECC">
        <w:rPr>
          <w:rFonts w:ascii="HelveticaNeue" w:hAnsi="HelveticaNeue" w:cs="Segoe UI"/>
          <w:color w:val="212121"/>
          <w:shd w:val="clear" w:color="auto" w:fill="FFFFFF"/>
        </w:rPr>
        <w:t>Kacin</w:t>
      </w:r>
      <w:proofErr w:type="spellEnd"/>
      <w:r w:rsidRPr="00745ECC">
        <w:rPr>
          <w:rFonts w:ascii="HelveticaNeue" w:hAnsi="HelveticaNeue" w:cs="Segoe UI"/>
          <w:color w:val="212121"/>
          <w:shd w:val="clear" w:color="auto" w:fill="FFFFFF"/>
        </w:rPr>
        <w:t xml:space="preserve"> A, Sultan I. </w:t>
      </w:r>
      <w:proofErr w:type="spellStart"/>
      <w:r w:rsidRPr="00745ECC">
        <w:rPr>
          <w:rFonts w:ascii="HelveticaNeue" w:hAnsi="HelveticaNeue" w:cs="Segoe UI"/>
          <w:color w:val="212121"/>
          <w:shd w:val="clear" w:color="auto" w:fill="FFFFFF"/>
        </w:rPr>
        <w:t>Reoperative</w:t>
      </w:r>
      <w:proofErr w:type="spellEnd"/>
      <w:r w:rsidRPr="00745ECC">
        <w:rPr>
          <w:rFonts w:ascii="HelveticaNeue" w:hAnsi="HelveticaNeue" w:cs="Segoe UI"/>
          <w:color w:val="212121"/>
          <w:shd w:val="clear" w:color="auto" w:fill="FFFFFF"/>
        </w:rPr>
        <w:t xml:space="preserve"> Cardiac Surgery Is a Risk Factor for Long-Term Mortality. Ann </w:t>
      </w:r>
      <w:proofErr w:type="spellStart"/>
      <w:r w:rsidRPr="00745ECC">
        <w:rPr>
          <w:rFonts w:ascii="HelveticaNeue" w:hAnsi="HelveticaNeue" w:cs="Segoe UI"/>
          <w:color w:val="212121"/>
          <w:shd w:val="clear" w:color="auto" w:fill="FFFFFF"/>
        </w:rPr>
        <w:t>Thorac</w:t>
      </w:r>
      <w:proofErr w:type="spellEnd"/>
      <w:r w:rsidRPr="00745ECC">
        <w:rPr>
          <w:rFonts w:ascii="HelveticaNeue" w:hAnsi="HelveticaNeue" w:cs="Segoe UI"/>
          <w:color w:val="212121"/>
          <w:shd w:val="clear" w:color="auto" w:fill="FFFFFF"/>
        </w:rPr>
        <w:t xml:space="preserve"> Surg. 2020 Oct;110(4):1235-1242.</w:t>
      </w:r>
      <w:r w:rsidR="002A0956" w:rsidRPr="00745ECC">
        <w:rPr>
          <w:rFonts w:ascii="HelveticaNeue" w:hAnsi="HelveticaNeue"/>
          <w:color w:val="000000"/>
        </w:rPr>
        <w:t xml:space="preserve"> </w:t>
      </w:r>
    </w:p>
    <w:p w14:paraId="11CDF07B" w14:textId="32B23F4A" w:rsidR="00D83B2A" w:rsidRPr="00CB76DF" w:rsidRDefault="002A0956" w:rsidP="00D83B2A">
      <w:pPr>
        <w:pStyle w:val="NormalWeb"/>
        <w:numPr>
          <w:ilvl w:val="0"/>
          <w:numId w:val="1"/>
        </w:numPr>
        <w:rPr>
          <w:rFonts w:ascii="HelveticaNeue" w:hAnsi="HelveticaNeue"/>
          <w:color w:val="000000"/>
        </w:rPr>
      </w:pPr>
      <w:r w:rsidRPr="00CB76DF">
        <w:rPr>
          <w:rFonts w:ascii="HelveticaNeue" w:hAnsi="HelveticaNeue"/>
          <w:color w:val="000000"/>
        </w:rPr>
        <w:t xml:space="preserve">Bernhard Meier. Closure of patent foramen </w:t>
      </w:r>
      <w:proofErr w:type="spellStart"/>
      <w:r w:rsidRPr="00CB76DF">
        <w:rPr>
          <w:rFonts w:ascii="HelveticaNeue" w:hAnsi="HelveticaNeue"/>
          <w:color w:val="000000"/>
        </w:rPr>
        <w:t>ovale</w:t>
      </w:r>
      <w:proofErr w:type="spellEnd"/>
      <w:r w:rsidRPr="00CB76DF">
        <w:rPr>
          <w:rFonts w:ascii="HelveticaNeue" w:hAnsi="HelveticaNeue"/>
          <w:color w:val="000000"/>
        </w:rPr>
        <w:t>: technique, pitfalls, complications, and follow up. Heart. 2005 Apr; 91(4):444-448.</w:t>
      </w:r>
    </w:p>
    <w:p w14:paraId="018708FD" w14:textId="248F5BE7" w:rsidR="002A0956" w:rsidRPr="00D83B2A" w:rsidRDefault="002A0956" w:rsidP="00D83B2A">
      <w:pPr>
        <w:pStyle w:val="NormalWeb"/>
        <w:numPr>
          <w:ilvl w:val="0"/>
          <w:numId w:val="1"/>
        </w:numPr>
        <w:rPr>
          <w:rFonts w:ascii="HelveticaNeue" w:hAnsi="HelveticaNeue"/>
          <w:color w:val="000000"/>
        </w:rPr>
      </w:pPr>
      <w:r w:rsidRPr="00D83B2A">
        <w:rPr>
          <w:rFonts w:ascii="HelveticaNeue" w:hAnsi="HelveticaNeue"/>
          <w:color w:val="000000"/>
        </w:rPr>
        <w:t xml:space="preserve">Achille </w:t>
      </w:r>
      <w:proofErr w:type="spellStart"/>
      <w:r w:rsidRPr="00D83B2A">
        <w:rPr>
          <w:rFonts w:ascii="HelveticaNeue" w:hAnsi="HelveticaNeue"/>
          <w:color w:val="000000"/>
        </w:rPr>
        <w:t>Gaspardone</w:t>
      </w:r>
      <w:proofErr w:type="spellEnd"/>
      <w:r w:rsidRPr="00D83B2A">
        <w:rPr>
          <w:rFonts w:ascii="HelveticaNeue" w:hAnsi="HelveticaNeue"/>
          <w:color w:val="000000"/>
        </w:rPr>
        <w:t xml:space="preserve"> et al. Predictors of residual right to left shunt after percutaneous suture-mediated patent foramen ovalis closure. JACC Vol 13. No 18. 2020.</w:t>
      </w:r>
    </w:p>
    <w:p w14:paraId="2CA5112A" w14:textId="77777777" w:rsidR="002A0956" w:rsidRPr="002A0956" w:rsidRDefault="002A0956" w:rsidP="002A0956">
      <w:pPr>
        <w:tabs>
          <w:tab w:val="left" w:pos="5295"/>
        </w:tabs>
        <w:rPr>
          <w:rFonts w:ascii="HelveticaNeue" w:eastAsia="Times New Roman" w:hAnsi="HelveticaNeue"/>
          <w:sz w:val="24"/>
          <w:szCs w:val="24"/>
        </w:rPr>
      </w:pPr>
    </w:p>
    <w:sectPr w:rsidR="002A0956" w:rsidRPr="002A0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248B"/>
    <w:multiLevelType w:val="hybridMultilevel"/>
    <w:tmpl w:val="367EC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1D"/>
    <w:rsid w:val="00001D6E"/>
    <w:rsid w:val="00012D52"/>
    <w:rsid w:val="00036DDA"/>
    <w:rsid w:val="000511DB"/>
    <w:rsid w:val="0006203E"/>
    <w:rsid w:val="00064D55"/>
    <w:rsid w:val="00077925"/>
    <w:rsid w:val="000A1383"/>
    <w:rsid w:val="000A18AF"/>
    <w:rsid w:val="000B10F9"/>
    <w:rsid w:val="000B2D54"/>
    <w:rsid w:val="000D0CB7"/>
    <w:rsid w:val="000E0126"/>
    <w:rsid w:val="000E50C0"/>
    <w:rsid w:val="000E5D17"/>
    <w:rsid w:val="000E644A"/>
    <w:rsid w:val="00135B1F"/>
    <w:rsid w:val="00141347"/>
    <w:rsid w:val="0014436D"/>
    <w:rsid w:val="00156DE0"/>
    <w:rsid w:val="00164526"/>
    <w:rsid w:val="0017212C"/>
    <w:rsid w:val="00190EE0"/>
    <w:rsid w:val="0019665A"/>
    <w:rsid w:val="001A4141"/>
    <w:rsid w:val="001C022D"/>
    <w:rsid w:val="001D5ACB"/>
    <w:rsid w:val="001F27B2"/>
    <w:rsid w:val="001F2AF8"/>
    <w:rsid w:val="001F348C"/>
    <w:rsid w:val="002175E8"/>
    <w:rsid w:val="00235C94"/>
    <w:rsid w:val="00243AA7"/>
    <w:rsid w:val="00260F5D"/>
    <w:rsid w:val="002938D7"/>
    <w:rsid w:val="0029600A"/>
    <w:rsid w:val="002A0072"/>
    <w:rsid w:val="002A0956"/>
    <w:rsid w:val="002D304C"/>
    <w:rsid w:val="002E6FB9"/>
    <w:rsid w:val="002F357D"/>
    <w:rsid w:val="00314376"/>
    <w:rsid w:val="00355115"/>
    <w:rsid w:val="00363DD6"/>
    <w:rsid w:val="00370CFD"/>
    <w:rsid w:val="0037736B"/>
    <w:rsid w:val="0039774F"/>
    <w:rsid w:val="003A4344"/>
    <w:rsid w:val="003B4D32"/>
    <w:rsid w:val="003B7C63"/>
    <w:rsid w:val="003C1C89"/>
    <w:rsid w:val="003C5CE8"/>
    <w:rsid w:val="003D4A8D"/>
    <w:rsid w:val="003D5579"/>
    <w:rsid w:val="003E6F87"/>
    <w:rsid w:val="003F3062"/>
    <w:rsid w:val="00401C17"/>
    <w:rsid w:val="0040283E"/>
    <w:rsid w:val="00410846"/>
    <w:rsid w:val="00412E48"/>
    <w:rsid w:val="00414535"/>
    <w:rsid w:val="004170B0"/>
    <w:rsid w:val="004609A8"/>
    <w:rsid w:val="004634F7"/>
    <w:rsid w:val="0047251E"/>
    <w:rsid w:val="004D19F5"/>
    <w:rsid w:val="004D23F5"/>
    <w:rsid w:val="004E6FEF"/>
    <w:rsid w:val="00511AAD"/>
    <w:rsid w:val="00517481"/>
    <w:rsid w:val="005659EF"/>
    <w:rsid w:val="005A0028"/>
    <w:rsid w:val="005A66F5"/>
    <w:rsid w:val="005B02B2"/>
    <w:rsid w:val="005B49C5"/>
    <w:rsid w:val="005F4D08"/>
    <w:rsid w:val="00602667"/>
    <w:rsid w:val="006229B3"/>
    <w:rsid w:val="00657CF1"/>
    <w:rsid w:val="0068030F"/>
    <w:rsid w:val="00685035"/>
    <w:rsid w:val="006C4E4D"/>
    <w:rsid w:val="006D5E71"/>
    <w:rsid w:val="006F0F15"/>
    <w:rsid w:val="00702AA6"/>
    <w:rsid w:val="00745ECC"/>
    <w:rsid w:val="007479F5"/>
    <w:rsid w:val="007604A3"/>
    <w:rsid w:val="00771DAB"/>
    <w:rsid w:val="00772EAB"/>
    <w:rsid w:val="00790E75"/>
    <w:rsid w:val="00791C6C"/>
    <w:rsid w:val="007B368E"/>
    <w:rsid w:val="007C05BF"/>
    <w:rsid w:val="007C242D"/>
    <w:rsid w:val="007D0EC0"/>
    <w:rsid w:val="007D2A33"/>
    <w:rsid w:val="007E6BFC"/>
    <w:rsid w:val="007F2920"/>
    <w:rsid w:val="00802BF8"/>
    <w:rsid w:val="00802D6D"/>
    <w:rsid w:val="008071BA"/>
    <w:rsid w:val="0081377E"/>
    <w:rsid w:val="00814399"/>
    <w:rsid w:val="00827ABC"/>
    <w:rsid w:val="008434B7"/>
    <w:rsid w:val="00851BDF"/>
    <w:rsid w:val="0088660B"/>
    <w:rsid w:val="008A0804"/>
    <w:rsid w:val="008E3D05"/>
    <w:rsid w:val="00903479"/>
    <w:rsid w:val="00936143"/>
    <w:rsid w:val="0094608E"/>
    <w:rsid w:val="009460CA"/>
    <w:rsid w:val="0096316D"/>
    <w:rsid w:val="0096466F"/>
    <w:rsid w:val="00980E55"/>
    <w:rsid w:val="009A3ABF"/>
    <w:rsid w:val="009C298F"/>
    <w:rsid w:val="009F4DA8"/>
    <w:rsid w:val="00A22E03"/>
    <w:rsid w:val="00A3088F"/>
    <w:rsid w:val="00A326F9"/>
    <w:rsid w:val="00A34CE1"/>
    <w:rsid w:val="00A370EC"/>
    <w:rsid w:val="00A44101"/>
    <w:rsid w:val="00A6730A"/>
    <w:rsid w:val="00AB39A8"/>
    <w:rsid w:val="00B1058A"/>
    <w:rsid w:val="00B14BFD"/>
    <w:rsid w:val="00B32E3B"/>
    <w:rsid w:val="00B43B6B"/>
    <w:rsid w:val="00B50A0C"/>
    <w:rsid w:val="00B73B03"/>
    <w:rsid w:val="00B806C5"/>
    <w:rsid w:val="00B96E3E"/>
    <w:rsid w:val="00BA5DDE"/>
    <w:rsid w:val="00BD2C82"/>
    <w:rsid w:val="00BE41EC"/>
    <w:rsid w:val="00C24B8F"/>
    <w:rsid w:val="00C35185"/>
    <w:rsid w:val="00C36E42"/>
    <w:rsid w:val="00C43787"/>
    <w:rsid w:val="00C5292F"/>
    <w:rsid w:val="00C53E77"/>
    <w:rsid w:val="00CB76DF"/>
    <w:rsid w:val="00D078CE"/>
    <w:rsid w:val="00D115E8"/>
    <w:rsid w:val="00D122BA"/>
    <w:rsid w:val="00D83B2A"/>
    <w:rsid w:val="00D854BC"/>
    <w:rsid w:val="00D90AF8"/>
    <w:rsid w:val="00DF2BB4"/>
    <w:rsid w:val="00E20A73"/>
    <w:rsid w:val="00E25495"/>
    <w:rsid w:val="00E3066D"/>
    <w:rsid w:val="00E43709"/>
    <w:rsid w:val="00E47CB9"/>
    <w:rsid w:val="00E54535"/>
    <w:rsid w:val="00E6764A"/>
    <w:rsid w:val="00E75FBD"/>
    <w:rsid w:val="00E76FBB"/>
    <w:rsid w:val="00EA0F57"/>
    <w:rsid w:val="00EA1FD1"/>
    <w:rsid w:val="00EE14F1"/>
    <w:rsid w:val="00EF5AA2"/>
    <w:rsid w:val="00F00200"/>
    <w:rsid w:val="00F016E4"/>
    <w:rsid w:val="00F01713"/>
    <w:rsid w:val="00F042AA"/>
    <w:rsid w:val="00F06709"/>
    <w:rsid w:val="00F22926"/>
    <w:rsid w:val="00F37F9A"/>
    <w:rsid w:val="00F545E5"/>
    <w:rsid w:val="00F667EA"/>
    <w:rsid w:val="00F67744"/>
    <w:rsid w:val="00F734CB"/>
    <w:rsid w:val="00F75850"/>
    <w:rsid w:val="00F763E0"/>
    <w:rsid w:val="00F80060"/>
    <w:rsid w:val="00F942A0"/>
    <w:rsid w:val="00F94D4A"/>
    <w:rsid w:val="00FA2518"/>
    <w:rsid w:val="00FA76EB"/>
    <w:rsid w:val="00FB1316"/>
    <w:rsid w:val="00FB7595"/>
    <w:rsid w:val="00FE5C18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4D45"/>
  <w15:chartTrackingRefBased/>
  <w15:docId w15:val="{50DB8F8C-8F64-4D8B-8362-225B2FF3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01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7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7F29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F292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01C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401C1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Kristen N</dc:creator>
  <cp:keywords/>
  <dc:description/>
  <cp:lastModifiedBy>Kristen</cp:lastModifiedBy>
  <cp:revision>7</cp:revision>
  <dcterms:created xsi:type="dcterms:W3CDTF">2021-09-15T21:39:00Z</dcterms:created>
  <dcterms:modified xsi:type="dcterms:W3CDTF">2021-09-15T21:46:00Z</dcterms:modified>
</cp:coreProperties>
</file>